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C19FA">
      <w:pPr>
        <w:pStyle w:val="8"/>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新晃县医疗保障局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黑体" w:hAnsi="黑体" w:eastAsia="黑体" w:cs="黑体"/>
          <w:b w:val="0"/>
          <w:bCs/>
          <w:sz w:val="32"/>
          <w:szCs w:val="32"/>
        </w:rPr>
        <w:t>年度预算绩效情况的说明</w:t>
      </w:r>
    </w:p>
    <w:p w14:paraId="257D9EB6"/>
    <w:p w14:paraId="7E61B85A">
      <w:pPr>
        <w:numPr>
          <w:ilvl w:val="0"/>
          <w:numId w:val="1"/>
        </w:numPr>
        <w:overflowPunct w:val="0"/>
        <w:spacing w:line="600" w:lineRule="exact"/>
        <w:ind w:firstLine="643"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绩效评价工作开展情况。</w:t>
      </w:r>
    </w:p>
    <w:p w14:paraId="10AD473A">
      <w:pPr>
        <w:numPr>
          <w:numId w:val="0"/>
        </w:numPr>
        <w:overflowPunct w:val="0"/>
        <w:spacing w:line="600" w:lineRule="exact"/>
        <w:ind w:firstLine="964" w:firstLineChars="300"/>
        <w:rPr>
          <w:rFonts w:ascii="Times New Roman" w:hAnsi="Times New Roman" w:eastAsia="仿宋_GB2312" w:cs="Times New Roman"/>
          <w:kern w:val="0"/>
          <w:sz w:val="32"/>
          <w:szCs w:val="32"/>
        </w:rPr>
      </w:pP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w:t>
      </w:r>
      <w:r>
        <w:rPr>
          <w:rFonts w:ascii="Times New Roman" w:hAnsi="Times New Roman" w:eastAsia="仿宋_GB2312" w:cs="Times New Roman"/>
          <w:kern w:val="0"/>
          <w:sz w:val="32"/>
          <w:szCs w:val="32"/>
        </w:rPr>
        <w:t>024年度本部门（单位）整体支出开展绩效自评，涉及项目</w:t>
      </w:r>
      <w:r>
        <w:rPr>
          <w:rFonts w:hint="eastAsia" w:ascii="Times New Roman" w:hAnsi="Times New Roman" w:eastAsia="仿宋_GB2312" w:cs="Times New Roman"/>
          <w:kern w:val="0"/>
          <w:sz w:val="32"/>
          <w:szCs w:val="32"/>
          <w:lang w:val="en-US" w:eastAsia="zh-CN"/>
        </w:rPr>
        <w:t>12</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14269.53</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12</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14269.53</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万元，占社会保险基金预算支出总额的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w:t>
      </w:r>
    </w:p>
    <w:p w14:paraId="77EA4648">
      <w:pPr>
        <w:numPr>
          <w:numId w:val="0"/>
        </w:numPr>
        <w:overflowPunct w:val="0"/>
        <w:spacing w:line="600" w:lineRule="exact"/>
        <w:ind w:firstLine="643" w:firstLineChars="200"/>
        <w:rPr>
          <w:rFonts w:ascii="Times New Roman" w:hAnsi="Times New Roman" w:eastAsia="仿宋_GB2312" w:cs="Times New Roman"/>
          <w:kern w:val="0"/>
          <w:sz w:val="32"/>
          <w:szCs w:val="32"/>
        </w:rPr>
      </w:pPr>
      <w:r>
        <w:rPr>
          <w:rFonts w:ascii="Times New Roman" w:hAnsi="Times New Roman" w:eastAsia="仿宋_GB2312" w:cs="Times New Roman"/>
          <w:b/>
          <w:bCs/>
          <w:kern w:val="0"/>
          <w:sz w:val="32"/>
          <w:szCs w:val="32"/>
        </w:rPr>
        <w:t>二是部门评价开展情况。</w:t>
      </w:r>
      <w:r>
        <w:rPr>
          <w:rFonts w:ascii="Times New Roman" w:hAnsi="Times New Roman" w:eastAsia="仿宋_GB2312" w:cs="Times New Roman"/>
          <w:kern w:val="0"/>
          <w:sz w:val="32"/>
          <w:szCs w:val="32"/>
        </w:rPr>
        <w:t>组织对所属单位2024年</w:t>
      </w:r>
      <w:r>
        <w:rPr>
          <w:rFonts w:ascii="Times New Roman" w:hAnsi="Times New Roman" w:eastAsia="仿宋_GB2312" w:cs="Times New Roman"/>
          <w:kern w:val="0"/>
          <w:sz w:val="32"/>
          <w:szCs w:val="32"/>
        </w:rPr>
        <w:t>度“</w:t>
      </w:r>
      <w:r>
        <w:rPr>
          <w:rFonts w:hint="eastAsia" w:ascii="Times New Roman" w:hAnsi="Times New Roman" w:eastAsia="仿宋_GB2312" w:cs="Times New Roman"/>
          <w:kern w:val="0"/>
          <w:sz w:val="32"/>
          <w:szCs w:val="32"/>
          <w:lang w:eastAsia="zh-CN"/>
        </w:rPr>
        <w:t>城乡医疗救助</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城乡居民医疗保险中央、省级配套</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lang w:eastAsia="zh-CN"/>
        </w:rPr>
        <w:t>“城乡居民医疗保险县级配套”“医疗服务与保障能力提升补助资金”</w:t>
      </w:r>
      <w:r>
        <w:rPr>
          <w:rFonts w:ascii="Times New Roman" w:hAnsi="Times New Roman" w:eastAsia="仿宋_GB2312" w:cs="Times New Roman"/>
          <w:kern w:val="0"/>
          <w:sz w:val="32"/>
          <w:szCs w:val="32"/>
        </w:rPr>
        <w:t>等</w:t>
      </w:r>
      <w:r>
        <w:rPr>
          <w:rFonts w:hint="eastAsia" w:ascii="Times New Roman" w:hAnsi="Times New Roman" w:eastAsia="仿宋_GB2312" w:cs="Times New Roman"/>
          <w:kern w:val="0"/>
          <w:sz w:val="32"/>
          <w:szCs w:val="32"/>
          <w:lang w:val="en-US" w:eastAsia="zh-CN"/>
        </w:rPr>
        <w:t>12</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kern w:val="0"/>
          <w:sz w:val="32"/>
          <w:szCs w:val="32"/>
          <w:lang w:val="en-US" w:eastAsia="zh-CN"/>
        </w:rPr>
        <w:t>14269.53</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p>
    <w:p w14:paraId="2BE10005">
      <w:pPr>
        <w:numPr>
          <w:numId w:val="0"/>
        </w:numPr>
        <w:overflowPunct w:val="0"/>
        <w:spacing w:line="600" w:lineRule="exact"/>
        <w:ind w:firstLine="643" w:firstLineChars="200"/>
        <w:rPr>
          <w:rFonts w:hint="eastAsia" w:ascii="Times New Roman" w:hAnsi="Times New Roman" w:eastAsia="仿宋_GB2312" w:cs="Times New Roman"/>
          <w:b/>
          <w:bCs/>
          <w:sz w:val="32"/>
          <w:szCs w:val="32"/>
          <w:lang w:eastAsia="zh-CN"/>
        </w:rPr>
      </w:pPr>
      <w:r>
        <w:rPr>
          <w:rFonts w:ascii="Times New Roman" w:hAnsi="Times New Roman" w:eastAsia="仿宋_GB2312" w:cs="Times New Roman"/>
          <w:b/>
          <w:bCs/>
          <w:kern w:val="0"/>
          <w:sz w:val="32"/>
          <w:szCs w:val="32"/>
        </w:rPr>
        <w:t>三是事前绩效评估开展情况。</w:t>
      </w:r>
      <w:r>
        <w:rPr>
          <w:rFonts w:hint="eastAsia" w:ascii="Times New Roman" w:hAnsi="Times New Roman" w:eastAsia="仿宋_GB2312" w:cs="Times New Roman"/>
          <w:kern w:val="0"/>
          <w:sz w:val="32"/>
          <w:szCs w:val="32"/>
          <w:lang w:eastAsia="zh-CN"/>
        </w:rPr>
        <w:t>无</w:t>
      </w:r>
    </w:p>
    <w:p w14:paraId="12E6C66B">
      <w:pPr>
        <w:numPr>
          <w:ilvl w:val="0"/>
          <w:numId w:val="2"/>
        </w:numPr>
        <w:ind w:firstLine="643" w:firstLineChars="200"/>
        <w:rPr>
          <w:rFonts w:hint="eastAsia" w:ascii="Times New Roman" w:hAnsi="Times New Roman" w:eastAsia="仿宋_GB2312" w:cs="Times New Roman"/>
          <w:sz w:val="32"/>
          <w:szCs w:val="32"/>
          <w:lang w:eastAsia="zh-CN"/>
        </w:rPr>
      </w:pPr>
      <w:r>
        <w:rPr>
          <w:rFonts w:ascii="Times New Roman" w:hAnsi="Times New Roman" w:eastAsia="楷体_GB2312" w:cs="Times New Roman"/>
          <w:b/>
          <w:bCs/>
          <w:sz w:val="32"/>
          <w:szCs w:val="32"/>
        </w:rPr>
        <w:t>绩效评价结果</w:t>
      </w:r>
      <w:r>
        <w:rPr>
          <w:rFonts w:hint="eastAsia" w:ascii="Times New Roman" w:hAnsi="Times New Roman" w:eastAsia="楷体_GB2312" w:cs="Times New Roman"/>
          <w:b/>
          <w:bCs/>
          <w:sz w:val="32"/>
          <w:szCs w:val="32"/>
          <w:lang w:eastAsia="zh-CN"/>
        </w:rPr>
        <w:t>。</w:t>
      </w:r>
    </w:p>
    <w:p w14:paraId="2EE12FB4">
      <w:pPr>
        <w:numPr>
          <w:numId w:val="0"/>
        </w:numPr>
        <w:ind w:firstLine="964" w:firstLineChars="300"/>
        <w:rPr>
          <w:rFonts w:hint="eastAsia" w:ascii="Times New Roman" w:hAnsi="Times New Roman" w:eastAsia="仿宋_GB2312" w:cs="Times New Roman"/>
          <w:sz w:val="32"/>
          <w:szCs w:val="32"/>
          <w:lang w:eastAsia="zh-CN"/>
        </w:rPr>
      </w:pP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仿宋_GB2312" w:eastAsia="仿宋_GB2312"/>
          <w:kern w:val="0"/>
          <w:sz w:val="32"/>
          <w:szCs w:val="32"/>
          <w:lang w:val="en-US" w:eastAsia="zh-CN"/>
        </w:rPr>
        <w:t>14269.53</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14187.79万元，执行率99.42%</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97</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w:t>
      </w:r>
    </w:p>
    <w:p w14:paraId="52C456E7">
      <w:pPr>
        <w:numPr>
          <w:numId w:val="0"/>
        </w:numPr>
        <w:ind w:firstLine="643"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b/>
          <w:bCs/>
          <w:kern w:val="0"/>
          <w:sz w:val="32"/>
          <w:szCs w:val="32"/>
          <w:lang w:eastAsia="zh-CN"/>
        </w:rPr>
        <w:t>二是</w:t>
      </w:r>
      <w:r>
        <w:rPr>
          <w:rFonts w:ascii="Times New Roman" w:hAnsi="Times New Roman" w:eastAsia="仿宋_GB2312" w:cs="Times New Roman"/>
          <w:b/>
          <w:bCs/>
          <w:kern w:val="0"/>
          <w:sz w:val="32"/>
          <w:szCs w:val="32"/>
        </w:rPr>
        <w:t>绩效目标完成情况</w:t>
      </w:r>
      <w:r>
        <w:rPr>
          <w:rFonts w:hint="eastAsia" w:ascii="Times New Roman" w:hAnsi="Times New Roman" w:eastAsia="仿宋_GB2312" w:cs="Times New Roman"/>
          <w:b/>
          <w:bCs/>
          <w:kern w:val="0"/>
          <w:sz w:val="32"/>
          <w:szCs w:val="32"/>
          <w:lang w:eastAsia="zh-CN"/>
        </w:rPr>
        <w:t>：</w:t>
      </w:r>
      <w:bookmarkStart w:id="0" w:name="_GoBack"/>
      <w:bookmarkEnd w:id="0"/>
    </w:p>
    <w:p w14:paraId="22E3ADA3">
      <w:pPr>
        <w:bidi w:val="0"/>
        <w:ind w:firstLine="643" w:firstLineChars="200"/>
        <w:rPr>
          <w:rFonts w:hint="default" w:ascii="Times New Roman" w:hAnsi="Times New Roman" w:eastAsia="仿宋_GB2312" w:cs="Times New Roman"/>
          <w:color w:val="0000FF"/>
          <w:sz w:val="32"/>
          <w:szCs w:val="32"/>
          <w:lang w:val="en-US" w:eastAsia="zh-CN"/>
        </w:rPr>
      </w:pPr>
      <w:r>
        <w:rPr>
          <w:rFonts w:hint="eastAsia" w:ascii="Times New Roman" w:hAnsi="Times New Roman" w:eastAsia="仿宋_GB2312" w:cs="Times New Roman"/>
          <w:b/>
          <w:bCs/>
          <w:kern w:val="0"/>
          <w:sz w:val="32"/>
          <w:szCs w:val="32"/>
          <w:lang w:val="en-US" w:eastAsia="zh-CN"/>
        </w:rPr>
        <w:t>（1）</w:t>
      </w:r>
      <w:r>
        <w:rPr>
          <w:rFonts w:hint="default" w:ascii="Times New Roman" w:hAnsi="Times New Roman" w:eastAsia="仿宋_GB2312" w:cs="Times New Roman"/>
          <w:b/>
          <w:bCs/>
          <w:kern w:val="0"/>
          <w:sz w:val="32"/>
          <w:szCs w:val="32"/>
          <w:lang w:val="en-US" w:eastAsia="zh-CN"/>
        </w:rPr>
        <w:t>突出服务大局，职能优势充分发挥。</w:t>
      </w:r>
      <w:r>
        <w:rPr>
          <w:rFonts w:hint="default" w:ascii="Times New Roman" w:hAnsi="Times New Roman" w:eastAsia="仿宋_GB2312" w:cs="Times New Roman"/>
          <w:b/>
          <w:bCs/>
          <w:color w:val="000000"/>
          <w:spacing w:val="0"/>
          <w:kern w:val="2"/>
          <w:sz w:val="32"/>
          <w:szCs w:val="32"/>
          <w:lang w:val="en-US" w:eastAsia="zh-CN" w:bidi="ar-SA"/>
        </w:rPr>
        <w:t>助力中医药产业发展</w:t>
      </w:r>
      <w:r>
        <w:rPr>
          <w:rFonts w:hint="default" w:ascii="Times New Roman" w:hAnsi="Times New Roman" w:eastAsia="仿宋_GB2312" w:cs="Times New Roman"/>
          <w:b w:val="0"/>
          <w:bCs w:val="0"/>
          <w:color w:val="000000"/>
          <w:spacing w:val="0"/>
          <w:kern w:val="2"/>
          <w:sz w:val="32"/>
          <w:szCs w:val="32"/>
          <w:lang w:val="en-US" w:eastAsia="zh-CN" w:bidi="ar-SA"/>
        </w:rPr>
        <w:t>。</w:t>
      </w:r>
      <w:r>
        <w:rPr>
          <w:rFonts w:hint="default" w:ascii="Times New Roman" w:hAnsi="Times New Roman" w:eastAsia="仿宋_GB2312" w:cs="Times New Roman"/>
          <w:color w:val="000000"/>
          <w:sz w:val="32"/>
          <w:szCs w:val="32"/>
          <w:lang w:val="en-US" w:eastAsia="zh-CN"/>
        </w:rPr>
        <w:t>全面落实医保支持中医药传承创新发展的各项举措，</w:t>
      </w:r>
      <w:r>
        <w:rPr>
          <w:rFonts w:hint="default" w:ascii="Times New Roman" w:hAnsi="Times New Roman" w:eastAsia="仿宋_GB2312" w:cs="Times New Roman"/>
          <w:sz w:val="32"/>
          <w:szCs w:val="32"/>
          <w:lang w:val="en-US" w:eastAsia="zh-CN"/>
        </w:rPr>
        <w:t>支持开展全国基层中医药示范县建设，将符合条件的1家中医医疗机构纳入医保定点，将适合开展门诊诊疗的3个中医优势病种纳入医保住院管理和支付，对10项中医药特色优势项目实施自主定价备案，对原12个医院自制方剂进行自主定价备案使用。</w:t>
      </w:r>
      <w:r>
        <w:rPr>
          <w:rFonts w:hint="default" w:ascii="Times New Roman" w:hAnsi="Times New Roman" w:eastAsia="仿宋_GB2312" w:cs="Times New Roman"/>
          <w:b/>
          <w:bCs/>
          <w:color w:val="000000"/>
          <w:spacing w:val="11"/>
          <w:sz w:val="32"/>
          <w:szCs w:val="32"/>
          <w:lang w:val="en-US" w:eastAsia="zh-CN"/>
        </w:rPr>
        <w:t>助力区域医疗中心建设</w:t>
      </w:r>
      <w:r>
        <w:rPr>
          <w:rFonts w:hint="default" w:ascii="Times New Roman" w:hAnsi="Times New Roman" w:eastAsia="仿宋_GB2312" w:cs="Times New Roman"/>
          <w:color w:val="000000"/>
          <w:spacing w:val="11"/>
          <w:sz w:val="32"/>
          <w:szCs w:val="32"/>
          <w:lang w:val="en-US" w:eastAsia="zh-CN"/>
        </w:rPr>
        <w:t>。</w:t>
      </w:r>
      <w:r>
        <w:rPr>
          <w:rFonts w:hint="default" w:ascii="Times New Roman" w:hAnsi="Times New Roman" w:eastAsia="仿宋_GB2312" w:cs="Times New Roman"/>
          <w:sz w:val="32"/>
          <w:szCs w:val="32"/>
        </w:rPr>
        <w:t>压缩县域外就医预算660余万元，</w:t>
      </w:r>
      <w:r>
        <w:rPr>
          <w:rFonts w:hint="default" w:ascii="Times New Roman" w:hAnsi="Times New Roman" w:eastAsia="仿宋_GB2312" w:cs="Times New Roman"/>
          <w:sz w:val="32"/>
          <w:szCs w:val="32"/>
          <w:lang w:val="en-US" w:eastAsia="zh-CN"/>
        </w:rPr>
        <w:t>分配给有建设任务的</w:t>
      </w:r>
      <w:r>
        <w:rPr>
          <w:rFonts w:hint="default" w:ascii="Times New Roman" w:hAnsi="Times New Roman" w:eastAsia="仿宋_GB2312" w:cs="Times New Roman"/>
          <w:sz w:val="32"/>
          <w:szCs w:val="32"/>
        </w:rPr>
        <w:t>县人民医院、县中医医院和</w:t>
      </w:r>
      <w:r>
        <w:rPr>
          <w:rFonts w:hint="default" w:ascii="Times New Roman" w:hAnsi="Times New Roman" w:eastAsia="仿宋_GB2312" w:cs="Times New Roman"/>
          <w:sz w:val="32"/>
          <w:szCs w:val="32"/>
          <w:lang w:val="en-US" w:eastAsia="zh-CN"/>
        </w:rPr>
        <w:t>相关乡镇卫生院</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为</w:t>
      </w:r>
      <w:r>
        <w:rPr>
          <w:rFonts w:hint="default" w:ascii="Times New Roman" w:hAnsi="Times New Roman" w:eastAsia="仿宋_GB2312" w:cs="Times New Roman"/>
          <w:sz w:val="32"/>
          <w:szCs w:val="32"/>
        </w:rPr>
        <w:t>推进区域医疗中心建设给于有力的资金保障。</w:t>
      </w:r>
    </w:p>
    <w:p w14:paraId="4CA72CA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sz w:val="32"/>
          <w:szCs w:val="32"/>
          <w:lang w:val="en-US" w:eastAsia="zh-CN"/>
        </w:rPr>
      </w:pPr>
      <w:r>
        <w:rPr>
          <w:rFonts w:hint="eastAsia" w:ascii="Times New Roman" w:hAnsi="Times New Roman" w:eastAsia="方正楷体_GBK" w:cs="Times New Roman"/>
          <w:b/>
          <w:bCs w:val="0"/>
          <w:color w:val="auto"/>
          <w:spacing w:val="0"/>
          <w:kern w:val="2"/>
          <w:sz w:val="32"/>
          <w:szCs w:val="32"/>
          <w:shd w:val="clear" w:color="auto" w:fill="FFFFFF"/>
          <w:lang w:val="en-US" w:eastAsia="zh-CN" w:bidi="ar-SA"/>
        </w:rPr>
        <w:t>（2）</w:t>
      </w:r>
      <w:r>
        <w:rPr>
          <w:rFonts w:hint="default" w:ascii="Times New Roman" w:hAnsi="Times New Roman" w:eastAsia="楷体" w:cs="Times New Roman"/>
          <w:b/>
          <w:bCs w:val="0"/>
          <w:color w:val="000000"/>
          <w:spacing w:val="0"/>
          <w:kern w:val="2"/>
          <w:sz w:val="32"/>
          <w:szCs w:val="32"/>
          <w:shd w:val="clear" w:color="auto" w:fill="FFFFFF"/>
          <w:lang w:val="en-US" w:eastAsia="zh-CN" w:bidi="ar-SA"/>
        </w:rPr>
        <w:t>突出民生保障，</w:t>
      </w:r>
      <w:r>
        <w:rPr>
          <w:rFonts w:hint="default" w:ascii="Times New Roman" w:hAnsi="Times New Roman" w:eastAsia="楷体" w:cs="Times New Roman"/>
          <w:b/>
          <w:bCs w:val="0"/>
          <w:color w:val="auto"/>
          <w:spacing w:val="0"/>
          <w:kern w:val="2"/>
          <w:sz w:val="32"/>
          <w:szCs w:val="32"/>
          <w:shd w:val="clear" w:color="auto" w:fill="FFFFFF"/>
          <w:lang w:val="en-US" w:eastAsia="zh-CN" w:bidi="ar-SA"/>
        </w:rPr>
        <w:t>待遇政策全面落地。</w:t>
      </w:r>
      <w:r>
        <w:rPr>
          <w:rFonts w:hint="default" w:ascii="Times New Roman" w:hAnsi="Times New Roman" w:eastAsia="仿宋_GB2312" w:cs="Times New Roman"/>
          <w:b/>
          <w:bCs w:val="0"/>
          <w:color w:val="000000"/>
          <w:spacing w:val="0"/>
          <w:kern w:val="2"/>
          <w:sz w:val="32"/>
          <w:szCs w:val="32"/>
          <w:shd w:val="clear" w:color="auto" w:fill="FFFFFF"/>
          <w:lang w:val="en-US" w:eastAsia="zh-CN" w:bidi="ar-SA"/>
        </w:rPr>
        <w:t>实现应保尽保。</w:t>
      </w:r>
      <w:r>
        <w:rPr>
          <w:rFonts w:hint="default" w:ascii="Times New Roman" w:hAnsi="Times New Roman" w:eastAsia="仿宋_GB2312" w:cs="Times New Roman"/>
          <w:color w:val="000000"/>
          <w:sz w:val="32"/>
          <w:szCs w:val="32"/>
          <w:lang w:val="en-US" w:eastAsia="zh-CN"/>
        </w:rPr>
        <w:t>开展全民参保集中宣传，加强部门间数据比对，扎实做好学生、新生儿和困难群体参保工作，与县税务、教育、乡村振兴等部门密切协作，有力推动了参保征缴工作。2024年全县参保人数</w:t>
      </w:r>
      <w:r>
        <w:rPr>
          <w:rFonts w:hint="default" w:ascii="Times New Roman" w:hAnsi="Times New Roman" w:eastAsia="仿宋_GB2312" w:cs="Times New Roman"/>
          <w:sz w:val="32"/>
          <w:szCs w:val="32"/>
        </w:rPr>
        <w:t>20.93</w:t>
      </w:r>
      <w:r>
        <w:rPr>
          <w:rFonts w:hint="default" w:ascii="Times New Roman" w:hAnsi="Times New Roman" w:eastAsia="仿宋_GB2312" w:cs="Times New Roman"/>
          <w:color w:val="000000"/>
          <w:sz w:val="32"/>
          <w:szCs w:val="32"/>
          <w:lang w:val="en-US" w:eastAsia="zh-CN"/>
        </w:rPr>
        <w:t>万，常住人口参保率为</w:t>
      </w:r>
      <w:r>
        <w:rPr>
          <w:rFonts w:hint="default" w:ascii="Times New Roman" w:hAnsi="Times New Roman" w:eastAsia="仿宋_GB2312" w:cs="Times New Roman"/>
          <w:sz w:val="32"/>
          <w:szCs w:val="32"/>
          <w:lang w:val="en-US" w:eastAsia="zh-CN"/>
        </w:rPr>
        <w:t>96.43</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bCs/>
          <w:color w:val="000000"/>
          <w:sz w:val="32"/>
          <w:szCs w:val="32"/>
          <w:lang w:val="en-US" w:eastAsia="zh-CN"/>
        </w:rPr>
        <w:t>实现应享尽享。</w:t>
      </w:r>
      <w:r>
        <w:rPr>
          <w:rFonts w:hint="default" w:ascii="Times New Roman" w:hAnsi="Times New Roman" w:eastAsia="仿宋_GB2312" w:cs="Times New Roman"/>
          <w:color w:val="000000"/>
          <w:sz w:val="32"/>
          <w:szCs w:val="32"/>
          <w:lang w:val="en-US" w:eastAsia="zh-CN"/>
        </w:rPr>
        <w:t>全面落实待遇清单制度，大力推进“三重保障”待遇落实，全县2家定点零售药店开通门诊统筹结算。2024年，全县59.60万人次享受门诊待遇，基金支付3630.04万元；住院就诊6万人次，基金支付18340.10万元。</w:t>
      </w:r>
      <w:r>
        <w:rPr>
          <w:rFonts w:hint="default" w:ascii="Times New Roman" w:hAnsi="Times New Roman" w:eastAsia="仿宋_GB2312" w:cs="Times New Roman"/>
          <w:b/>
          <w:bCs w:val="0"/>
          <w:color w:val="000000"/>
          <w:spacing w:val="0"/>
          <w:kern w:val="2"/>
          <w:sz w:val="32"/>
          <w:szCs w:val="32"/>
          <w:shd w:val="clear" w:color="auto" w:fill="FFFFFF"/>
          <w:lang w:val="en-US" w:eastAsia="zh-CN" w:bidi="ar-SA"/>
        </w:rPr>
        <w:t>实现应助尽助。</w:t>
      </w:r>
      <w:r>
        <w:rPr>
          <w:rFonts w:hint="default" w:ascii="Times New Roman" w:hAnsi="Times New Roman" w:eastAsia="仿宋_GB2312" w:cs="Times New Roman"/>
          <w:color w:val="000000"/>
          <w:sz w:val="32"/>
          <w:szCs w:val="32"/>
          <w:lang w:val="en-US" w:eastAsia="zh-CN"/>
        </w:rPr>
        <w:t>加强与县卫健、民政、退役军人事务、乡村振兴、残联等部门沟通衔接，及时做好人员信息互通比对，实时动态更新困难人员标识，全年医疗救助17809人次，基金支付1280.06万元；资助困难人员参保</w:t>
      </w:r>
      <w:r>
        <w:rPr>
          <w:rFonts w:hint="default" w:ascii="Times New Roman" w:hAnsi="Times New Roman" w:eastAsia="仿宋_GB2312" w:cs="Times New Roman"/>
          <w:sz w:val="32"/>
          <w:szCs w:val="32"/>
        </w:rPr>
        <w:t>16266</w:t>
      </w:r>
      <w:r>
        <w:rPr>
          <w:rFonts w:hint="default" w:ascii="Times New Roman" w:hAnsi="Times New Roman" w:eastAsia="仿宋_GB2312" w:cs="Times New Roman"/>
          <w:color w:val="000000"/>
          <w:sz w:val="32"/>
          <w:szCs w:val="32"/>
          <w:lang w:val="en-US" w:eastAsia="zh-CN"/>
        </w:rPr>
        <w:t>人，资助金额</w:t>
      </w:r>
      <w:r>
        <w:rPr>
          <w:rFonts w:hint="default" w:ascii="Times New Roman" w:hAnsi="Times New Roman" w:eastAsia="仿宋_GB2312" w:cs="Times New Roman"/>
          <w:sz w:val="32"/>
          <w:szCs w:val="32"/>
        </w:rPr>
        <w:t>423.09</w:t>
      </w:r>
      <w:r>
        <w:rPr>
          <w:rFonts w:hint="default" w:ascii="Times New Roman" w:hAnsi="Times New Roman" w:eastAsia="仿宋_GB2312" w:cs="Times New Roman"/>
          <w:color w:val="000000"/>
          <w:sz w:val="32"/>
          <w:szCs w:val="32"/>
          <w:lang w:val="en-US" w:eastAsia="zh-CN"/>
        </w:rPr>
        <w:t>万元。</w:t>
      </w:r>
    </w:p>
    <w:p w14:paraId="33657CF8">
      <w:pPr>
        <w:keepNext w:val="0"/>
        <w:keepLines w:val="0"/>
        <w:pageBreakBefore w:val="0"/>
        <w:widowControl w:val="0"/>
        <w:numPr>
          <w:ilvl w:val="0"/>
          <w:numId w:val="0"/>
        </w:numPr>
        <w:kinsoku/>
        <w:wordWrap/>
        <w:overflowPunct/>
        <w:topLinePunct w:val="0"/>
        <w:autoSpaceDE/>
        <w:autoSpaceDN/>
        <w:bidi w:val="0"/>
        <w:adjustRightInd/>
        <w:snapToGrid/>
        <w:spacing w:beforeAutospacing="0" w:line="600" w:lineRule="exact"/>
        <w:ind w:firstLine="640" w:firstLineChars="200"/>
        <w:textAlignment w:val="auto"/>
        <w:rPr>
          <w:rFonts w:hint="default" w:ascii="Times New Roman" w:hAnsi="Times New Roman" w:eastAsia="仿宋_GB2312" w:cs="Times New Roman"/>
          <w:b w:val="0"/>
          <w:bCs w:val="0"/>
          <w:color w:val="000000"/>
          <w:kern w:val="2"/>
          <w:sz w:val="32"/>
          <w:szCs w:val="32"/>
          <w:highlight w:val="none"/>
          <w:lang w:val="en-US" w:eastAsia="zh-CN" w:bidi="ar-SA"/>
        </w:rPr>
      </w:pPr>
      <w:r>
        <w:rPr>
          <w:rFonts w:hint="eastAsia" w:ascii="Times New Roman" w:hAnsi="Times New Roman" w:eastAsia="方正楷体_GBK" w:cs="Times New Roman"/>
          <w:b/>
          <w:bCs w:val="0"/>
          <w:color w:val="auto"/>
          <w:spacing w:val="0"/>
          <w:kern w:val="2"/>
          <w:sz w:val="32"/>
          <w:szCs w:val="32"/>
          <w:shd w:val="clear" w:color="auto" w:fill="FFFFFF"/>
          <w:lang w:val="en-US" w:eastAsia="zh-CN" w:bidi="ar-SA"/>
        </w:rPr>
        <w:t>（3）</w:t>
      </w:r>
      <w:r>
        <w:rPr>
          <w:rFonts w:hint="default" w:ascii="Times New Roman" w:hAnsi="Times New Roman" w:eastAsia="楷体" w:cs="Times New Roman"/>
          <w:b/>
          <w:bCs w:val="0"/>
          <w:color w:val="000000"/>
          <w:spacing w:val="0"/>
          <w:kern w:val="2"/>
          <w:sz w:val="32"/>
          <w:szCs w:val="32"/>
          <w:shd w:val="clear" w:color="auto" w:fill="FFFFFF"/>
          <w:lang w:val="en-US" w:eastAsia="zh-CN" w:bidi="ar-SA"/>
        </w:rPr>
        <w:t>突出从严监管，</w:t>
      </w:r>
      <w:r>
        <w:rPr>
          <w:rFonts w:hint="default" w:ascii="Times New Roman" w:hAnsi="Times New Roman" w:eastAsia="楷体" w:cs="Times New Roman"/>
          <w:b/>
          <w:bCs w:val="0"/>
          <w:color w:val="auto"/>
          <w:spacing w:val="0"/>
          <w:kern w:val="2"/>
          <w:sz w:val="32"/>
          <w:szCs w:val="32"/>
          <w:shd w:val="clear" w:color="auto" w:fill="FFFFFF"/>
          <w:lang w:val="en-US" w:eastAsia="zh-CN" w:bidi="ar-SA"/>
        </w:rPr>
        <w:t>基金运行平稳有序。</w:t>
      </w:r>
      <w:r>
        <w:rPr>
          <w:rFonts w:hint="default" w:ascii="Times New Roman" w:hAnsi="Times New Roman" w:eastAsia="仿宋_GB2312" w:cs="Times New Roman"/>
          <w:b/>
          <w:bCs/>
          <w:color w:val="000000"/>
          <w:kern w:val="2"/>
          <w:sz w:val="32"/>
          <w:szCs w:val="32"/>
          <w:highlight w:val="none"/>
          <w:lang w:val="en-US" w:eastAsia="zh-CN" w:bidi="ar-SA"/>
        </w:rPr>
        <w:t>加强日常监管。</w:t>
      </w:r>
      <w:r>
        <w:rPr>
          <w:rFonts w:hint="default" w:ascii="Times New Roman" w:hAnsi="Times New Roman" w:eastAsia="仿宋_GB2312" w:cs="Times New Roman"/>
          <w:b w:val="0"/>
          <w:bCs w:val="0"/>
          <w:color w:val="000000"/>
          <w:kern w:val="2"/>
          <w:sz w:val="32"/>
          <w:szCs w:val="32"/>
          <w:highlight w:val="none"/>
          <w:lang w:val="en-US" w:eastAsia="zh-CN" w:bidi="ar-SA"/>
        </w:rPr>
        <w:t>实现监督检查全覆盖，联合县公安局、县卫健局、县财政局、县市场监管局等部门聚焦重点领域和行为开展专项整治。积极探索门诊共济改革后零售药店、重点医疗机构监管新模式，在全市率先制定出台药店检查指南。深入开展基金监管“百日行动”，联合贵州省玉屏县医保部门组成联合检查组对县人民医院进行专项检查。</w:t>
      </w:r>
      <w:r>
        <w:rPr>
          <w:rFonts w:hint="default" w:ascii="Times New Roman" w:hAnsi="Times New Roman" w:eastAsia="仿宋_GB2312" w:cs="Times New Roman"/>
          <w:b w:val="0"/>
          <w:bCs w:val="0"/>
          <w:color w:val="auto"/>
          <w:kern w:val="2"/>
          <w:sz w:val="32"/>
          <w:szCs w:val="32"/>
          <w:highlight w:val="none"/>
          <w:lang w:val="en-US" w:eastAsia="zh-CN" w:bidi="ar-SA"/>
        </w:rPr>
        <w:t>2024年，全县共现场检查定点医药机构</w:t>
      </w:r>
      <w:r>
        <w:rPr>
          <w:rFonts w:hint="eastAsia" w:ascii="Times New Roman" w:hAnsi="Times New Roman" w:cs="Times New Roman"/>
          <w:b w:val="0"/>
          <w:bCs w:val="0"/>
          <w:color w:val="auto"/>
          <w:kern w:val="2"/>
          <w:sz w:val="32"/>
          <w:szCs w:val="32"/>
          <w:highlight w:val="none"/>
          <w:lang w:val="en-US" w:eastAsia="zh-CN" w:bidi="ar-SA"/>
        </w:rPr>
        <w:t>201</w:t>
      </w:r>
      <w:r>
        <w:rPr>
          <w:rFonts w:hint="default" w:ascii="Times New Roman" w:hAnsi="Times New Roman" w:eastAsia="仿宋_GB2312" w:cs="Times New Roman"/>
          <w:b w:val="0"/>
          <w:bCs w:val="0"/>
          <w:color w:val="auto"/>
          <w:kern w:val="2"/>
          <w:sz w:val="32"/>
          <w:szCs w:val="32"/>
          <w:highlight w:val="none"/>
          <w:lang w:val="en-US" w:eastAsia="zh-CN" w:bidi="ar-SA"/>
        </w:rPr>
        <w:t>家，解除医保协议</w:t>
      </w:r>
      <w:r>
        <w:rPr>
          <w:rFonts w:hint="default" w:ascii="Times New Roman" w:hAnsi="Times New Roman" w:cs="Times New Roman"/>
          <w:b w:val="0"/>
          <w:bCs w:val="0"/>
          <w:color w:val="auto"/>
          <w:kern w:val="2"/>
          <w:sz w:val="32"/>
          <w:szCs w:val="32"/>
          <w:highlight w:val="none"/>
          <w:lang w:val="en-US" w:eastAsia="zh-CN" w:bidi="ar-SA"/>
        </w:rPr>
        <w:t>6</w:t>
      </w:r>
      <w:r>
        <w:rPr>
          <w:rFonts w:hint="default" w:ascii="Times New Roman" w:hAnsi="Times New Roman" w:eastAsia="仿宋_GB2312" w:cs="Times New Roman"/>
          <w:b w:val="0"/>
          <w:bCs w:val="0"/>
          <w:color w:val="auto"/>
          <w:kern w:val="2"/>
          <w:sz w:val="32"/>
          <w:szCs w:val="32"/>
          <w:highlight w:val="none"/>
          <w:lang w:val="en-US" w:eastAsia="zh-CN" w:bidi="ar-SA"/>
        </w:rPr>
        <w:t>家、暂停医保结算</w:t>
      </w:r>
      <w:r>
        <w:rPr>
          <w:rFonts w:hint="default" w:ascii="Times New Roman" w:hAnsi="Times New Roman" w:cs="Times New Roman"/>
          <w:b w:val="0"/>
          <w:bCs w:val="0"/>
          <w:color w:val="auto"/>
          <w:kern w:val="2"/>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家，追回医保基金及处罚金共计62.69万元</w:t>
      </w:r>
      <w:r>
        <w:rPr>
          <w:rFonts w:hint="default" w:ascii="Times New Roman" w:hAnsi="Times New Roman" w:eastAsia="仿宋_GB2312" w:cs="Times New Roman"/>
          <w:b w:val="0"/>
          <w:bCs w:val="0"/>
          <w:color w:val="000000"/>
          <w:kern w:val="2"/>
          <w:sz w:val="32"/>
          <w:szCs w:val="32"/>
          <w:highlight w:val="none"/>
          <w:lang w:val="en-US" w:eastAsia="zh-CN" w:bidi="ar-SA"/>
        </w:rPr>
        <w:t>。</w:t>
      </w:r>
      <w:r>
        <w:rPr>
          <w:rFonts w:hint="default" w:ascii="Times New Roman" w:hAnsi="Times New Roman" w:eastAsia="仿宋_GB2312" w:cs="Times New Roman"/>
          <w:b/>
          <w:bCs/>
          <w:color w:val="000000"/>
          <w:kern w:val="2"/>
          <w:sz w:val="32"/>
          <w:szCs w:val="32"/>
          <w:highlight w:val="none"/>
          <w:lang w:val="en-US" w:eastAsia="zh-CN" w:bidi="ar-SA"/>
        </w:rPr>
        <w:t>加强创新监管。</w:t>
      </w:r>
      <w:r>
        <w:rPr>
          <w:rFonts w:hint="default" w:ascii="Times New Roman" w:hAnsi="Times New Roman" w:eastAsia="仿宋_GB2312" w:cs="Times New Roman"/>
          <w:b w:val="0"/>
          <w:bCs w:val="0"/>
          <w:color w:val="auto"/>
          <w:kern w:val="2"/>
          <w:sz w:val="32"/>
          <w:szCs w:val="32"/>
          <w:highlight w:val="none"/>
          <w:lang w:val="en-US" w:eastAsia="zh-CN" w:bidi="ar-SA"/>
        </w:rPr>
        <w:t>上线使用41条智能审核规则，</w:t>
      </w:r>
      <w:r>
        <w:rPr>
          <w:rFonts w:hint="default" w:ascii="Times New Roman" w:hAnsi="Times New Roman" w:eastAsia="仿宋_GB2312" w:cs="Times New Roman"/>
          <w:color w:val="auto"/>
          <w:sz w:val="32"/>
          <w:szCs w:val="32"/>
          <w:lang w:val="en-US" w:eastAsia="zh-CN"/>
        </w:rPr>
        <w:t>确认违规数据扣款3.3万元；</w:t>
      </w:r>
      <w:r>
        <w:rPr>
          <w:rFonts w:hint="default" w:ascii="Times New Roman" w:hAnsi="Times New Roman" w:eastAsia="仿宋_GB2312" w:cs="Times New Roman"/>
          <w:color w:val="000000"/>
          <w:sz w:val="32"/>
          <w:szCs w:val="32"/>
          <w:lang w:val="en-US" w:eastAsia="zh-CN"/>
        </w:rPr>
        <w:t>督促县人民医院、县中医医院完成血透室等重点领域场景监控建设</w:t>
      </w:r>
      <w:r>
        <w:rPr>
          <w:rFonts w:hint="default" w:ascii="Times New Roman" w:hAnsi="Times New Roman" w:eastAsia="仿宋_GB2312" w:cs="Times New Roman"/>
          <w:b w:val="0"/>
          <w:bCs w:val="0"/>
          <w:color w:val="000000"/>
          <w:kern w:val="2"/>
          <w:sz w:val="32"/>
          <w:szCs w:val="32"/>
          <w:highlight w:val="none"/>
          <w:lang w:val="en-US" w:eastAsia="zh-CN" w:bidi="ar-SA"/>
        </w:rPr>
        <w:t>。</w:t>
      </w:r>
      <w:r>
        <w:rPr>
          <w:rFonts w:hint="default" w:ascii="Times New Roman" w:hAnsi="Times New Roman" w:eastAsia="仿宋_GB2312" w:cs="Times New Roman"/>
          <w:b/>
          <w:bCs/>
          <w:color w:val="000000"/>
          <w:kern w:val="2"/>
          <w:sz w:val="32"/>
          <w:szCs w:val="32"/>
          <w:highlight w:val="none"/>
          <w:lang w:val="en-US" w:eastAsia="zh-CN" w:bidi="ar-SA"/>
        </w:rPr>
        <w:t>加强社会监督。</w:t>
      </w:r>
      <w:r>
        <w:rPr>
          <w:rFonts w:hint="default" w:ascii="Times New Roman" w:hAnsi="Times New Roman" w:eastAsia="仿宋_GB2312" w:cs="Times New Roman"/>
          <w:b w:val="0"/>
          <w:bCs w:val="0"/>
          <w:color w:val="000000"/>
          <w:kern w:val="2"/>
          <w:sz w:val="32"/>
          <w:szCs w:val="32"/>
          <w:highlight w:val="none"/>
          <w:lang w:val="en-US" w:eastAsia="zh-CN" w:bidi="ar-SA"/>
        </w:rPr>
        <w:t>推进信用评价体系建设，聘请医保基金社会监督员16名，积极参与对</w:t>
      </w:r>
      <w:r>
        <w:rPr>
          <w:rFonts w:hint="default" w:ascii="Times New Roman" w:hAnsi="Times New Roman" w:eastAsia="仿宋_GB2312" w:cs="Times New Roman"/>
          <w:b w:val="0"/>
          <w:bCs w:val="0"/>
          <w:color w:val="auto"/>
          <w:kern w:val="2"/>
          <w:sz w:val="32"/>
          <w:szCs w:val="32"/>
          <w:highlight w:val="none"/>
          <w:lang w:val="en-US" w:eastAsia="zh-CN" w:bidi="ar-SA"/>
        </w:rPr>
        <w:t>定点医药机构的</w:t>
      </w:r>
      <w:r>
        <w:rPr>
          <w:rFonts w:hint="default" w:ascii="Times New Roman" w:hAnsi="Times New Roman" w:eastAsia="仿宋_GB2312" w:cs="Times New Roman"/>
          <w:b w:val="0"/>
          <w:bCs w:val="0"/>
          <w:color w:val="000000"/>
          <w:kern w:val="2"/>
          <w:sz w:val="32"/>
          <w:szCs w:val="32"/>
          <w:highlight w:val="none"/>
          <w:lang w:val="en-US" w:eastAsia="zh-CN" w:bidi="ar-SA"/>
        </w:rPr>
        <w:t>日常监督检查，提出被采纳意见建议4条，有效增强监管合力。</w:t>
      </w:r>
    </w:p>
    <w:p w14:paraId="6DE22035">
      <w:pPr>
        <w:keepNext w:val="0"/>
        <w:keepLines w:val="0"/>
        <w:pageBreakBefore w:val="0"/>
        <w:widowControl w:val="0"/>
        <w:numPr>
          <w:ilvl w:val="0"/>
          <w:numId w:val="0"/>
        </w:numPr>
        <w:kinsoku/>
        <w:wordWrap/>
        <w:overflowPunct/>
        <w:topLinePunct w:val="0"/>
        <w:autoSpaceDE/>
        <w:autoSpaceDN/>
        <w:bidi w:val="0"/>
        <w:adjustRightInd/>
        <w:snapToGrid/>
        <w:spacing w:beforeAutospacing="0" w:line="600" w:lineRule="exact"/>
        <w:ind w:firstLine="640" w:firstLineChars="200"/>
        <w:textAlignment w:val="auto"/>
        <w:rPr>
          <w:rFonts w:hint="default" w:ascii="Times New Roman" w:hAnsi="Times New Roman" w:eastAsia="仿宋_GB2312" w:cs="Times New Roman"/>
          <w:color w:val="000000"/>
          <w:kern w:val="0"/>
          <w:sz w:val="32"/>
          <w:szCs w:val="32"/>
          <w:lang w:val="en-US" w:eastAsia="zh-CN" w:bidi="ar"/>
        </w:rPr>
      </w:pPr>
      <w:r>
        <w:rPr>
          <w:rFonts w:hint="eastAsia" w:ascii="Times New Roman" w:hAnsi="Times New Roman" w:eastAsia="方正楷体_GBK" w:cs="Times New Roman"/>
          <w:b/>
          <w:bCs w:val="0"/>
          <w:color w:val="auto"/>
          <w:spacing w:val="0"/>
          <w:kern w:val="2"/>
          <w:sz w:val="32"/>
          <w:szCs w:val="32"/>
          <w:shd w:val="clear" w:color="auto" w:fill="FFFFFF"/>
          <w:lang w:val="en-US" w:eastAsia="zh-CN" w:bidi="ar-SA"/>
        </w:rPr>
        <w:t>（4）</w:t>
      </w:r>
      <w:r>
        <w:rPr>
          <w:rFonts w:hint="default" w:ascii="Times New Roman" w:hAnsi="Times New Roman" w:eastAsia="楷体" w:cs="Times New Roman"/>
          <w:b/>
          <w:bCs w:val="0"/>
          <w:color w:val="000000"/>
          <w:spacing w:val="0"/>
          <w:kern w:val="2"/>
          <w:sz w:val="32"/>
          <w:szCs w:val="32"/>
          <w:shd w:val="clear" w:color="auto" w:fill="FFFFFF"/>
          <w:lang w:val="en-US" w:eastAsia="zh-CN" w:bidi="ar-SA"/>
        </w:rPr>
        <w:t>突出改革创新，</w:t>
      </w:r>
      <w:r>
        <w:rPr>
          <w:rFonts w:hint="default" w:ascii="Times New Roman" w:hAnsi="Times New Roman" w:eastAsia="楷体" w:cs="Times New Roman"/>
          <w:b/>
          <w:bCs w:val="0"/>
          <w:color w:val="auto"/>
          <w:spacing w:val="0"/>
          <w:kern w:val="2"/>
          <w:sz w:val="32"/>
          <w:szCs w:val="32"/>
          <w:shd w:val="clear" w:color="auto" w:fill="FFFFFF"/>
          <w:lang w:val="en-US" w:eastAsia="zh-CN" w:bidi="ar-SA"/>
        </w:rPr>
        <w:t>医保效能稳步增强。</w:t>
      </w:r>
      <w:r>
        <w:rPr>
          <w:rFonts w:hint="default" w:ascii="Times New Roman" w:hAnsi="Times New Roman" w:eastAsia="仿宋_GB2312" w:cs="Times New Roman"/>
          <w:b/>
          <w:bCs w:val="0"/>
          <w:color w:val="000000"/>
          <w:spacing w:val="0"/>
          <w:kern w:val="2"/>
          <w:sz w:val="32"/>
          <w:szCs w:val="32"/>
          <w:shd w:val="clear" w:color="auto" w:fill="FFFFFF"/>
          <w:lang w:val="en-US" w:eastAsia="zh-CN" w:bidi="ar-SA"/>
        </w:rPr>
        <w:t>深化支付方式改革</w:t>
      </w:r>
      <w:r>
        <w:rPr>
          <w:rFonts w:hint="default" w:ascii="Times New Roman" w:hAnsi="Times New Roman" w:eastAsia="仿宋_GB2312" w:cs="Times New Roman"/>
          <w:b w:val="0"/>
          <w:bCs w:val="0"/>
          <w:i w:val="0"/>
          <w:caps w:val="0"/>
          <w:color w:val="000000"/>
          <w:spacing w:val="0"/>
          <w:w w:val="100"/>
          <w:kern w:val="2"/>
          <w:sz w:val="32"/>
          <w:szCs w:val="32"/>
          <w:lang w:val="en-US" w:eastAsia="zh-CN" w:bidi="ar-SA"/>
        </w:rPr>
        <w:t>。</w:t>
      </w:r>
      <w:r>
        <w:rPr>
          <w:rFonts w:hint="default" w:ascii="Times New Roman" w:hAnsi="Times New Roman" w:eastAsia="仿宋_GB2312" w:cs="Times New Roman"/>
          <w:sz w:val="32"/>
          <w:szCs w:val="32"/>
          <w:lang w:val="en-US" w:eastAsia="zh-CN"/>
        </w:rPr>
        <w:t>扩围推进DIP医保支付改革。按照省市DIP支付方式改革三年行动计划要求，完成县域内所有定点医疗机构（精神病医院、县妇幼保健院除外）DIP支付结算全覆盖。</w:t>
      </w:r>
      <w:r>
        <w:rPr>
          <w:rFonts w:hint="default" w:ascii="Times New Roman" w:hAnsi="Times New Roman" w:eastAsia="仿宋_GB2312" w:cs="Times New Roman"/>
          <w:color w:val="000000"/>
          <w:kern w:val="2"/>
          <w:sz w:val="32"/>
          <w:szCs w:val="32"/>
          <w:lang w:val="en-US" w:eastAsia="zh-CN" w:bidi="ar-SA"/>
        </w:rPr>
        <w:t>病案数据上传率、质控通过率、CMI指数、医保基金支付率大幅提升，基金支出、人均住院费用、人均住院天次、统筹基金支出明显减少。</w:t>
      </w:r>
      <w:r>
        <w:rPr>
          <w:rFonts w:hint="default" w:ascii="Times New Roman" w:hAnsi="Times New Roman" w:eastAsia="仿宋_GB2312" w:cs="Times New Roman"/>
          <w:b/>
          <w:bCs/>
          <w:color w:val="000000"/>
          <w:kern w:val="0"/>
          <w:sz w:val="32"/>
          <w:szCs w:val="32"/>
          <w:lang w:val="en-US" w:eastAsia="zh-CN" w:bidi="ar"/>
        </w:rPr>
        <w:t>深化药耗集采改革。</w:t>
      </w:r>
      <w:r>
        <w:rPr>
          <w:rFonts w:hint="default" w:ascii="Times New Roman" w:hAnsi="Times New Roman" w:eastAsia="仿宋_GB2312" w:cs="Times New Roman"/>
          <w:color w:val="000000"/>
          <w:kern w:val="2"/>
          <w:sz w:val="32"/>
          <w:szCs w:val="32"/>
          <w:lang w:val="en-US" w:eastAsia="zh-CN" w:bidi="ar-SA"/>
        </w:rPr>
        <w:t>全面落实国家、省际、市际医药集采联盟带量采购工作，累计推动国家及省际联盟医药集采共25批次300个品种373个品规中选药品、22大类40个品种医用耗材落地，全县所有公立医疗机构，集采药品平均降价53%，耗材平均降价80%，直接结算公立医院集中带量采购产品货款1867.21万元。按集采前采购金额计算，全年节约资金超3000余万元，节约医保基金超1500余万元。</w:t>
      </w:r>
      <w:r>
        <w:rPr>
          <w:rFonts w:hint="default" w:ascii="Times New Roman" w:hAnsi="Times New Roman" w:eastAsia="仿宋_GB2312" w:cs="Times New Roman"/>
          <w:b/>
          <w:bCs/>
          <w:color w:val="000000"/>
          <w:kern w:val="0"/>
          <w:sz w:val="32"/>
          <w:szCs w:val="32"/>
          <w:lang w:val="en-US" w:eastAsia="zh-CN" w:bidi="ar"/>
        </w:rPr>
        <w:t>深化医疗服务项目价格管理。</w:t>
      </w:r>
      <w:r>
        <w:rPr>
          <w:rFonts w:hint="default" w:ascii="Times New Roman" w:hAnsi="Times New Roman" w:eastAsia="仿宋_GB2312" w:cs="Times New Roman"/>
          <w:color w:val="000000"/>
          <w:kern w:val="2"/>
          <w:sz w:val="32"/>
          <w:szCs w:val="32"/>
          <w:lang w:val="en-US" w:eastAsia="zh-CN" w:bidi="ar-SA"/>
        </w:rPr>
        <w:t>完成年度医疗服务项目价格监测评估，持续推动医疗服务项目价格动态调整，及时下发各项价格通知，严格落实医疗服务项目价格规范和优化政策，积极开展医疗服务收费和药品耗材价格专项治理工作。</w:t>
      </w:r>
    </w:p>
    <w:p w14:paraId="0B1AF0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b w:val="0"/>
          <w:bCs w:val="0"/>
          <w:color w:val="000000"/>
          <w:sz w:val="32"/>
          <w:szCs w:val="32"/>
          <w:lang w:eastAsia="zh-CN"/>
        </w:rPr>
      </w:pPr>
      <w:r>
        <w:rPr>
          <w:rFonts w:hint="eastAsia" w:ascii="Times New Roman" w:hAnsi="Times New Roman" w:eastAsia="方正楷体_GBK" w:cs="Times New Roman"/>
          <w:b/>
          <w:bCs w:val="0"/>
          <w:color w:val="auto"/>
          <w:spacing w:val="0"/>
          <w:kern w:val="2"/>
          <w:sz w:val="32"/>
          <w:szCs w:val="32"/>
          <w:shd w:val="clear" w:color="auto" w:fill="FFFFFF"/>
          <w:lang w:val="en-US" w:eastAsia="zh-CN" w:bidi="ar-SA"/>
        </w:rPr>
        <w:t>（5）</w:t>
      </w:r>
      <w:r>
        <w:rPr>
          <w:rFonts w:hint="default" w:ascii="Times New Roman" w:hAnsi="Times New Roman" w:eastAsia="楷体" w:cs="Times New Roman"/>
          <w:b/>
          <w:bCs w:val="0"/>
          <w:color w:val="000000"/>
          <w:spacing w:val="0"/>
          <w:kern w:val="2"/>
          <w:sz w:val="32"/>
          <w:szCs w:val="32"/>
          <w:shd w:val="clear" w:color="auto" w:fill="FFFFFF"/>
          <w:lang w:val="en-US" w:eastAsia="zh-CN" w:bidi="ar-SA"/>
        </w:rPr>
        <w:t>突出能力建设，</w:t>
      </w:r>
      <w:r>
        <w:rPr>
          <w:rFonts w:hint="default" w:ascii="Times New Roman" w:hAnsi="Times New Roman" w:eastAsia="楷体" w:cs="Times New Roman"/>
          <w:b/>
          <w:bCs w:val="0"/>
          <w:color w:val="auto"/>
          <w:spacing w:val="0"/>
          <w:kern w:val="2"/>
          <w:sz w:val="32"/>
          <w:szCs w:val="32"/>
          <w:shd w:val="clear" w:color="auto" w:fill="FFFFFF"/>
          <w:lang w:val="en-US" w:eastAsia="zh-CN" w:bidi="ar-SA"/>
        </w:rPr>
        <w:t>服务水平提档升级。</w:t>
      </w:r>
      <w:r>
        <w:rPr>
          <w:rFonts w:hint="default" w:ascii="Times New Roman" w:hAnsi="Times New Roman" w:eastAsia="仿宋_GB2312" w:cs="Times New Roman"/>
          <w:b/>
          <w:bCs/>
          <w:color w:val="000000"/>
          <w:sz w:val="32"/>
          <w:szCs w:val="32"/>
          <w:lang w:val="en-US" w:eastAsia="zh-CN"/>
        </w:rPr>
        <w:t>抓好政务服务</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加大宣传力度，讲好医保故事、传播医保声音，积极</w:t>
      </w:r>
      <w:r>
        <w:rPr>
          <w:rFonts w:hint="default" w:ascii="Times New Roman" w:hAnsi="Times New Roman" w:eastAsia="仿宋_GB2312" w:cs="Times New Roman"/>
          <w:sz w:val="32"/>
          <w:szCs w:val="32"/>
          <w:lang w:val="en-US" w:eastAsia="zh-CN"/>
        </w:rPr>
        <w:t>组织参加</w:t>
      </w:r>
      <w:r>
        <w:rPr>
          <w:rFonts w:hint="default" w:ascii="Times New Roman" w:hAnsi="Times New Roman" w:eastAsia="仿宋_GB2312" w:cs="Times New Roman"/>
          <w:b w:val="0"/>
          <w:bCs w:val="0"/>
          <w:sz w:val="32"/>
          <w:szCs w:val="32"/>
          <w:lang w:val="en-US" w:eastAsia="zh-CN" w:bidi="ar-SA"/>
        </w:rPr>
        <w:t>全国医保系统宣传大赛</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b w:val="0"/>
          <w:bCs w:val="0"/>
          <w:sz w:val="32"/>
          <w:szCs w:val="32"/>
          <w:lang w:val="en-US" w:eastAsia="zh-CN" w:bidi="ar-SA"/>
        </w:rPr>
        <w:t>医保好声音-全民参保”活动，选送的</w:t>
      </w:r>
      <w:r>
        <w:rPr>
          <w:rFonts w:hint="default" w:ascii="Times New Roman" w:hAnsi="Times New Roman" w:eastAsia="仿宋_GB2312" w:cs="Times New Roman"/>
          <w:i w:val="0"/>
          <w:iCs w:val="0"/>
          <w:caps w:val="0"/>
          <w:color w:val="auto"/>
          <w:spacing w:val="0"/>
          <w:sz w:val="32"/>
          <w:szCs w:val="32"/>
          <w:shd w:val="clear" w:color="auto" w:fill="FFFFFF"/>
        </w:rPr>
        <w:t>两个</w:t>
      </w:r>
      <w:r>
        <w:rPr>
          <w:rFonts w:hint="default" w:ascii="Times New Roman" w:hAnsi="Times New Roman" w:eastAsia="仿宋_GB2312" w:cs="Times New Roman"/>
          <w:i w:val="0"/>
          <w:iCs w:val="0"/>
          <w:caps w:val="0"/>
          <w:color w:val="auto"/>
          <w:spacing w:val="0"/>
          <w:sz w:val="32"/>
          <w:szCs w:val="32"/>
          <w:shd w:val="clear" w:color="auto" w:fill="FFFFFF"/>
          <w:lang w:val="en-US" w:eastAsia="zh-CN"/>
        </w:rPr>
        <w:t>优秀参赛</w:t>
      </w:r>
      <w:r>
        <w:rPr>
          <w:rFonts w:hint="default" w:ascii="Times New Roman" w:hAnsi="Times New Roman" w:eastAsia="仿宋_GB2312" w:cs="Times New Roman"/>
          <w:i w:val="0"/>
          <w:iCs w:val="0"/>
          <w:caps w:val="0"/>
          <w:color w:val="auto"/>
          <w:spacing w:val="0"/>
          <w:sz w:val="32"/>
          <w:szCs w:val="32"/>
          <w:shd w:val="clear" w:color="auto" w:fill="FFFFFF"/>
        </w:rPr>
        <w:t>作品分获</w:t>
      </w:r>
      <w:r>
        <w:rPr>
          <w:rFonts w:hint="default" w:ascii="Times New Roman" w:hAnsi="Times New Roman" w:eastAsia="仿宋_GB2312" w:cs="Times New Roman"/>
          <w:i w:val="0"/>
          <w:iCs w:val="0"/>
          <w:caps w:val="0"/>
          <w:color w:val="auto"/>
          <w:spacing w:val="0"/>
          <w:sz w:val="32"/>
          <w:szCs w:val="32"/>
          <w:shd w:val="clear" w:color="auto" w:fill="FFFFFF"/>
          <w:lang w:val="en-US" w:eastAsia="zh-CN"/>
        </w:rPr>
        <w:t>全国</w:t>
      </w:r>
      <w:r>
        <w:rPr>
          <w:rFonts w:hint="default" w:ascii="Times New Roman" w:hAnsi="Times New Roman" w:eastAsia="仿宋_GB2312" w:cs="Times New Roman"/>
          <w:i w:val="0"/>
          <w:iCs w:val="0"/>
          <w:caps w:val="0"/>
          <w:color w:val="auto"/>
          <w:spacing w:val="0"/>
          <w:sz w:val="32"/>
          <w:szCs w:val="32"/>
          <w:shd w:val="clear" w:color="auto" w:fill="FFFFFF"/>
        </w:rPr>
        <w:t>县区级一等奖和二等奖</w:t>
      </w:r>
      <w:r>
        <w:rPr>
          <w:rFonts w:hint="default" w:ascii="Times New Roman" w:hAnsi="Times New Roman" w:eastAsia="仿宋_GB2312" w:cs="Times New Roman"/>
          <w:i w:val="0"/>
          <w:iCs w:val="0"/>
          <w:caps w:val="0"/>
          <w:color w:val="auto"/>
          <w:spacing w:val="0"/>
          <w:sz w:val="32"/>
          <w:szCs w:val="32"/>
          <w:shd w:val="clear" w:color="auto" w:fill="FFFFFF"/>
          <w:lang w:eastAsia="zh-CN"/>
        </w:rPr>
        <w:t>；</w:t>
      </w:r>
      <w:r>
        <w:rPr>
          <w:rFonts w:hint="default" w:ascii="Times New Roman" w:hAnsi="Times New Roman" w:eastAsia="仿宋_GB2312" w:cs="Times New Roman"/>
          <w:i w:val="0"/>
          <w:iCs w:val="0"/>
          <w:caps w:val="0"/>
          <w:color w:val="auto"/>
          <w:spacing w:val="0"/>
          <w:sz w:val="32"/>
          <w:szCs w:val="32"/>
          <w:shd w:val="clear" w:color="auto" w:fill="FFFFFF"/>
          <w:lang w:val="en-US" w:eastAsia="zh-CN"/>
        </w:rPr>
        <w:t>在省、市媒体平台共计上稿6</w:t>
      </w:r>
      <w:r>
        <w:rPr>
          <w:rFonts w:hint="eastAsia" w:ascii="Times New Roman" w:hAnsi="Times New Roman" w:eastAsia="仿宋_GB2312" w:cs="Times New Roman"/>
          <w:i w:val="0"/>
          <w:iCs w:val="0"/>
          <w:caps w:val="0"/>
          <w:color w:val="auto"/>
          <w:spacing w:val="0"/>
          <w:sz w:val="32"/>
          <w:szCs w:val="32"/>
          <w:shd w:val="clear" w:color="auto" w:fill="FFFFFF"/>
          <w:lang w:val="en-US" w:eastAsia="zh-CN"/>
        </w:rPr>
        <w:t>3</w:t>
      </w:r>
      <w:r>
        <w:rPr>
          <w:rFonts w:hint="default" w:ascii="Times New Roman" w:hAnsi="Times New Roman" w:eastAsia="仿宋_GB2312" w:cs="Times New Roman"/>
          <w:i w:val="0"/>
          <w:iCs w:val="0"/>
          <w:caps w:val="0"/>
          <w:color w:val="auto"/>
          <w:spacing w:val="0"/>
          <w:sz w:val="32"/>
          <w:szCs w:val="32"/>
          <w:shd w:val="clear" w:color="auto" w:fill="FFFFFF"/>
          <w:lang w:val="en-US" w:eastAsia="zh-CN"/>
        </w:rPr>
        <w:t>篇。</w:t>
      </w:r>
      <w:r>
        <w:rPr>
          <w:rFonts w:hint="default" w:ascii="Times New Roman" w:hAnsi="Times New Roman" w:eastAsia="仿宋_GB2312" w:cs="Times New Roman"/>
          <w:color w:val="000000"/>
          <w:sz w:val="32"/>
          <w:szCs w:val="32"/>
          <w:lang w:val="en-US" w:eastAsia="zh-CN"/>
        </w:rPr>
        <w:t>持续开展“医保微课堂”政策宣讲活动，组织召开各类业务政策培训会8次，培训700余人次</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积极开展</w:t>
      </w:r>
      <w:r>
        <w:rPr>
          <w:rFonts w:hint="default" w:ascii="Times New Roman" w:hAnsi="Times New Roman" w:eastAsia="仿宋_GB2312" w:cs="Times New Roman"/>
          <w:sz w:val="32"/>
          <w:szCs w:val="32"/>
          <w:lang w:val="en-US" w:eastAsia="zh-CN"/>
        </w:rPr>
        <w:t>“医保服务进万家 提升民生可感度”活动</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从县乡村三级医保经办机构、定点医疗（药）机构、受益患者（家属）中选培“医保政策明白人”1600余人。</w:t>
      </w:r>
      <w:r>
        <w:rPr>
          <w:rFonts w:hint="default" w:ascii="Times New Roman" w:hAnsi="Times New Roman" w:eastAsia="仿宋_GB2312" w:cs="Times New Roman"/>
          <w:b/>
          <w:bCs/>
          <w:color w:val="000000"/>
          <w:sz w:val="32"/>
          <w:szCs w:val="32"/>
          <w:highlight w:val="none"/>
          <w:lang w:val="en-US" w:eastAsia="zh-CN"/>
        </w:rPr>
        <w:t>抓好信息化建设。</w:t>
      </w:r>
      <w:r>
        <w:rPr>
          <w:rFonts w:hint="default" w:ascii="Times New Roman" w:hAnsi="Times New Roman" w:eastAsia="仿宋_GB2312" w:cs="Times New Roman"/>
          <w:b w:val="0"/>
          <w:bCs w:val="0"/>
          <w:color w:val="auto"/>
          <w:sz w:val="32"/>
          <w:szCs w:val="32"/>
          <w:highlight w:val="none"/>
          <w:lang w:val="en-US" w:eastAsia="zh-CN"/>
        </w:rPr>
        <w:t>积极推动医保电子处方流转，持续做好编码贯标和接口改造等基础工作，推动医保信息系统全功能应用，加快电子医保码应用，我县电子凭证激活率达</w:t>
      </w:r>
      <w:r>
        <w:rPr>
          <w:rFonts w:hint="default" w:ascii="Times New Roman" w:hAnsi="Times New Roman" w:cs="Times New Roman"/>
          <w:b w:val="0"/>
          <w:bCs w:val="0"/>
          <w:color w:val="auto"/>
          <w:sz w:val="32"/>
          <w:szCs w:val="32"/>
          <w:highlight w:val="none"/>
          <w:lang w:val="en-US" w:eastAsia="zh-CN"/>
        </w:rPr>
        <w:t>86.86</w:t>
      </w:r>
      <w:r>
        <w:rPr>
          <w:rFonts w:hint="default" w:ascii="Times New Roman" w:hAnsi="Times New Roman" w:eastAsia="仿宋_GB2312" w:cs="Times New Roman"/>
          <w:b w:val="0"/>
          <w:bCs w:val="0"/>
          <w:color w:val="auto"/>
          <w:sz w:val="32"/>
          <w:szCs w:val="32"/>
          <w:highlight w:val="none"/>
          <w:lang w:val="en-US" w:eastAsia="zh-CN"/>
        </w:rPr>
        <w:t>%，高于全市平均水平。打通服务群众最后一公里，</w:t>
      </w:r>
      <w:r>
        <w:rPr>
          <w:rFonts w:hint="default" w:ascii="Times New Roman" w:hAnsi="Times New Roman" w:eastAsia="仿宋_GB2312" w:cs="Times New Roman"/>
          <w:color w:val="000000"/>
          <w:sz w:val="32"/>
          <w:szCs w:val="32"/>
          <w:lang w:val="en-US" w:eastAsia="zh-CN"/>
        </w:rPr>
        <w:t>137个行政村卫生室开通医保定点</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color w:val="auto"/>
          <w:sz w:val="32"/>
          <w:szCs w:val="32"/>
        </w:rPr>
        <w:t>开通临时外出</w:t>
      </w:r>
      <w:r>
        <w:rPr>
          <w:rFonts w:hint="default" w:ascii="Times New Roman" w:hAnsi="Times New Roman" w:eastAsia="仿宋_GB2312" w:cs="Times New Roman"/>
          <w:color w:val="auto"/>
          <w:sz w:val="32"/>
          <w:szCs w:val="32"/>
          <w:lang w:eastAsia="zh-CN"/>
        </w:rPr>
        <w:t>就医</w:t>
      </w:r>
      <w:r>
        <w:rPr>
          <w:rFonts w:hint="default" w:ascii="Times New Roman" w:hAnsi="Times New Roman" w:eastAsia="仿宋_GB2312" w:cs="Times New Roman"/>
          <w:color w:val="auto"/>
          <w:sz w:val="32"/>
          <w:szCs w:val="32"/>
        </w:rPr>
        <w:t>人员异地</w:t>
      </w:r>
      <w:r>
        <w:rPr>
          <w:rFonts w:hint="default" w:ascii="Times New Roman" w:hAnsi="Times New Roman" w:eastAsia="仿宋_GB2312" w:cs="Times New Roman"/>
          <w:color w:val="auto"/>
          <w:sz w:val="32"/>
          <w:szCs w:val="32"/>
          <w:lang w:eastAsia="zh-CN"/>
        </w:rPr>
        <w:t>住院</w:t>
      </w:r>
      <w:r>
        <w:rPr>
          <w:rFonts w:hint="default" w:ascii="Times New Roman" w:hAnsi="Times New Roman" w:eastAsia="仿宋_GB2312" w:cs="Times New Roman"/>
          <w:color w:val="auto"/>
          <w:sz w:val="32"/>
          <w:szCs w:val="32"/>
        </w:rPr>
        <w:t>“免备案”</w:t>
      </w:r>
      <w:r>
        <w:rPr>
          <w:rFonts w:hint="default" w:ascii="Times New Roman" w:hAnsi="Times New Roman" w:eastAsia="仿宋_GB2312" w:cs="Times New Roman"/>
          <w:color w:val="auto"/>
          <w:sz w:val="32"/>
          <w:szCs w:val="32"/>
          <w:lang w:val="en-US" w:eastAsia="zh-CN"/>
        </w:rPr>
        <w:t>和</w:t>
      </w:r>
      <w:r>
        <w:rPr>
          <w:rFonts w:hint="default" w:ascii="Times New Roman" w:hAnsi="Times New Roman" w:eastAsia="仿宋_GB2312" w:cs="Times New Roman"/>
          <w:b w:val="0"/>
          <w:bCs w:val="0"/>
          <w:sz w:val="32"/>
          <w:szCs w:val="32"/>
        </w:rPr>
        <w:t>电子服务协议</w:t>
      </w:r>
      <w:r>
        <w:rPr>
          <w:rFonts w:hint="default" w:ascii="Times New Roman" w:hAnsi="Times New Roman" w:eastAsia="仿宋_GB2312" w:cs="Times New Roman"/>
          <w:b w:val="0"/>
          <w:bCs w:val="0"/>
          <w:sz w:val="32"/>
          <w:szCs w:val="32"/>
          <w:lang w:eastAsia="zh-CN"/>
        </w:rPr>
        <w:t>网签服务，全</w:t>
      </w:r>
      <w:r>
        <w:rPr>
          <w:rFonts w:hint="default" w:ascii="Times New Roman" w:hAnsi="Times New Roman" w:eastAsia="仿宋_GB2312" w:cs="Times New Roman"/>
          <w:b w:val="0"/>
          <w:bCs w:val="0"/>
          <w:sz w:val="32"/>
          <w:szCs w:val="32"/>
          <w:lang w:val="en-US" w:eastAsia="zh-CN"/>
        </w:rPr>
        <w:t>县</w:t>
      </w:r>
      <w:r>
        <w:rPr>
          <w:rFonts w:hint="default" w:ascii="Times New Roman" w:hAnsi="Times New Roman" w:eastAsia="仿宋_GB2312" w:cs="Times New Roman"/>
          <w:b w:val="0"/>
          <w:bCs w:val="0"/>
          <w:sz w:val="32"/>
          <w:szCs w:val="32"/>
          <w:lang w:eastAsia="zh-CN"/>
        </w:rPr>
        <w:t>医保服务协议进入“网签时代”</w:t>
      </w:r>
      <w:r>
        <w:rPr>
          <w:rFonts w:hint="default" w:ascii="Times New Roman" w:hAnsi="Times New Roman" w:eastAsia="仿宋_GB2312" w:cs="Times New Roman"/>
          <w:b w:val="0"/>
          <w:bCs w:val="0"/>
          <w:color w:val="000000"/>
          <w:sz w:val="32"/>
          <w:szCs w:val="32"/>
          <w:lang w:eastAsia="zh-CN"/>
        </w:rPr>
        <w:t>。</w:t>
      </w:r>
    </w:p>
    <w:p w14:paraId="1CC2A9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方正楷体_GBK" w:cs="Times New Roman"/>
          <w:b/>
          <w:bCs w:val="0"/>
          <w:color w:val="auto"/>
          <w:spacing w:val="0"/>
          <w:kern w:val="2"/>
          <w:sz w:val="32"/>
          <w:szCs w:val="32"/>
          <w:shd w:val="clear" w:color="auto" w:fill="FFFFFF"/>
          <w:lang w:val="en-US" w:eastAsia="zh-CN" w:bidi="ar-SA"/>
        </w:rPr>
        <w:t>（6）</w:t>
      </w:r>
      <w:r>
        <w:rPr>
          <w:rFonts w:hint="default" w:ascii="Times New Roman" w:hAnsi="Times New Roman" w:eastAsia="楷体" w:cs="Times New Roman"/>
          <w:b/>
          <w:bCs w:val="0"/>
          <w:color w:val="000000"/>
          <w:spacing w:val="0"/>
          <w:kern w:val="2"/>
          <w:sz w:val="32"/>
          <w:szCs w:val="32"/>
          <w:shd w:val="clear" w:color="auto" w:fill="FFFFFF"/>
          <w:lang w:val="en-US" w:eastAsia="zh-CN" w:bidi="ar-SA"/>
        </w:rPr>
        <w:t>突出党建引领，干部队伍坚强有力。</w:t>
      </w:r>
      <w:r>
        <w:rPr>
          <w:rFonts w:hint="default" w:ascii="Times New Roman" w:hAnsi="Times New Roman" w:eastAsia="仿宋_GB2312" w:cs="Times New Roman"/>
          <w:b/>
          <w:bCs/>
          <w:color w:val="000000"/>
          <w:sz w:val="32"/>
          <w:szCs w:val="32"/>
        </w:rPr>
        <w:t>一是强化政治</w:t>
      </w:r>
      <w:r>
        <w:rPr>
          <w:rFonts w:hint="default" w:ascii="Times New Roman" w:hAnsi="Times New Roman" w:eastAsia="仿宋_GB2312" w:cs="Times New Roman"/>
          <w:b/>
          <w:bCs/>
          <w:color w:val="000000"/>
          <w:sz w:val="32"/>
          <w:szCs w:val="32"/>
          <w:lang w:val="en-US" w:eastAsia="zh-CN"/>
        </w:rPr>
        <w:t>建设</w:t>
      </w:r>
      <w:r>
        <w:rPr>
          <w:rFonts w:hint="default" w:ascii="Times New Roman" w:hAnsi="Times New Roman" w:eastAsia="仿宋_GB2312" w:cs="Times New Roman"/>
          <w:b/>
          <w:bCs/>
          <w:color w:val="000000"/>
          <w:sz w:val="32"/>
          <w:szCs w:val="32"/>
        </w:rPr>
        <w:t>。</w:t>
      </w:r>
      <w:r>
        <w:rPr>
          <w:rFonts w:hint="default" w:ascii="Times New Roman" w:hAnsi="Times New Roman" w:eastAsia="仿宋_GB2312" w:cs="Times New Roman"/>
          <w:sz w:val="32"/>
          <w:szCs w:val="32"/>
          <w:lang w:val="en-US" w:eastAsia="zh-CN"/>
        </w:rPr>
        <w:t>强化理论学习，持之以恒学习贯彻习近平新时代中国特色社会主义思想和党的二十大及二十届三中全会精神，严格执行党组“第一议题”制度，用好理论中心组学习、</w:t>
      </w:r>
      <w:r>
        <w:rPr>
          <w:rFonts w:hint="default" w:ascii="Times New Roman" w:hAnsi="Times New Roman" w:eastAsia="仿宋_GB2312" w:cs="Times New Roman"/>
          <w:sz w:val="32"/>
          <w:szCs w:val="32"/>
        </w:rPr>
        <w:t>专题党课</w:t>
      </w:r>
      <w:r>
        <w:rPr>
          <w:rFonts w:hint="default" w:ascii="Times New Roman" w:hAnsi="Times New Roman" w:eastAsia="仿宋_GB2312" w:cs="Times New Roman"/>
          <w:sz w:val="32"/>
          <w:szCs w:val="32"/>
          <w:lang w:val="en-US" w:eastAsia="zh-CN"/>
        </w:rPr>
        <w:t>、“三会一课”、</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一月一课一片一实践</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党纪学习教育等活动载体，扎实抓好理论学习，提升干部职工整体素质。</w:t>
      </w:r>
      <w:r>
        <w:rPr>
          <w:rFonts w:hint="default" w:ascii="Times New Roman" w:hAnsi="Times New Roman" w:eastAsia="仿宋_GB2312" w:cs="Times New Roman"/>
          <w:b/>
          <w:bCs/>
          <w:color w:val="000000"/>
          <w:sz w:val="32"/>
          <w:szCs w:val="32"/>
          <w:lang w:val="en-US" w:eastAsia="zh-CN"/>
        </w:rPr>
        <w:t>二</w:t>
      </w:r>
      <w:r>
        <w:rPr>
          <w:rFonts w:hint="default" w:ascii="Times New Roman" w:hAnsi="Times New Roman" w:eastAsia="仿宋_GB2312" w:cs="Times New Roman"/>
          <w:b/>
          <w:bCs/>
          <w:color w:val="000000"/>
          <w:sz w:val="32"/>
          <w:szCs w:val="32"/>
          <w:lang w:eastAsia="zh-CN"/>
        </w:rPr>
        <w:t>是</w:t>
      </w:r>
      <w:r>
        <w:rPr>
          <w:rFonts w:hint="default" w:ascii="Times New Roman" w:hAnsi="Times New Roman" w:eastAsia="仿宋_GB2312" w:cs="Times New Roman"/>
          <w:b/>
          <w:bCs/>
          <w:sz w:val="32"/>
          <w:szCs w:val="32"/>
        </w:rPr>
        <w:t>认真</w:t>
      </w:r>
      <w:r>
        <w:rPr>
          <w:rFonts w:hint="default" w:ascii="Times New Roman" w:hAnsi="Times New Roman" w:eastAsia="仿宋_GB2312" w:cs="Times New Roman"/>
          <w:b/>
          <w:bCs/>
          <w:sz w:val="32"/>
          <w:szCs w:val="32"/>
          <w:lang w:val="en-US" w:eastAsia="zh-CN"/>
        </w:rPr>
        <w:t>组织</w:t>
      </w:r>
      <w:r>
        <w:rPr>
          <w:rFonts w:hint="default" w:ascii="Times New Roman" w:hAnsi="Times New Roman" w:eastAsia="仿宋_GB2312" w:cs="Times New Roman"/>
          <w:b/>
          <w:bCs/>
          <w:sz w:val="32"/>
          <w:szCs w:val="32"/>
        </w:rPr>
        <w:t>开展党纪学习教育</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加强新修订的《中国共产党纪律处分条例》的学习</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开展违纪典型案例学习，</w:t>
      </w:r>
      <w:r>
        <w:rPr>
          <w:rFonts w:hint="default" w:ascii="Times New Roman" w:hAnsi="Times New Roman" w:eastAsia="仿宋_GB2312" w:cs="Times New Roman"/>
          <w:sz w:val="32"/>
          <w:szCs w:val="32"/>
        </w:rPr>
        <w:t>开展清廉机关、清廉执法、清廉窗口、清廉招采</w:t>
      </w:r>
      <w:r>
        <w:rPr>
          <w:rFonts w:hint="default" w:ascii="Times New Roman" w:hAnsi="Times New Roman" w:eastAsia="仿宋_GB2312" w:cs="Times New Roman"/>
          <w:sz w:val="32"/>
          <w:szCs w:val="32"/>
          <w:lang w:val="en-US" w:eastAsia="zh-CN"/>
        </w:rPr>
        <w:t>四个创建，让全体党员和干部职工自觉</w:t>
      </w:r>
      <w:r>
        <w:rPr>
          <w:rFonts w:hint="default" w:ascii="Times New Roman" w:hAnsi="Times New Roman" w:eastAsia="仿宋_GB2312" w:cs="Times New Roman"/>
          <w:sz w:val="32"/>
          <w:szCs w:val="32"/>
        </w:rPr>
        <w:t>做到学纪、知纪、明纪、守</w:t>
      </w:r>
      <w:r>
        <w:rPr>
          <w:rFonts w:hint="default" w:ascii="Times New Roman" w:hAnsi="Times New Roman" w:eastAsia="仿宋_GB2312" w:cs="Times New Roman"/>
          <w:sz w:val="32"/>
          <w:szCs w:val="32"/>
          <w:lang w:val="en-US" w:eastAsia="zh-CN"/>
        </w:rPr>
        <w:t>纪。</w:t>
      </w:r>
      <w:r>
        <w:rPr>
          <w:rFonts w:hint="default" w:ascii="Times New Roman" w:hAnsi="Times New Roman" w:eastAsia="仿宋_GB2312" w:cs="Times New Roman"/>
          <w:b/>
          <w:bCs/>
          <w:sz w:val="32"/>
          <w:szCs w:val="32"/>
          <w:lang w:val="en-US" w:eastAsia="zh-CN"/>
        </w:rPr>
        <w:t>三是认真开展医保领域群众身边不正之风和腐败问题集中整治。</w:t>
      </w:r>
      <w:r>
        <w:rPr>
          <w:rFonts w:hint="default" w:ascii="Times New Roman" w:hAnsi="Times New Roman" w:eastAsia="仿宋_GB2312" w:cs="Times New Roman"/>
          <w:sz w:val="32"/>
          <w:szCs w:val="32"/>
          <w:lang w:val="en-US" w:eastAsia="zh-CN"/>
        </w:rPr>
        <w:t>整治期间，共约谈定点医疗机构负责人34人次，追回医保基金10.92万元，上缴国库8.67万元，建立完善相关制度4个，移送问题线索7条</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bCs/>
          <w:color w:val="000000"/>
          <w:sz w:val="32"/>
          <w:szCs w:val="32"/>
          <w:lang w:val="en-US" w:eastAsia="zh-CN"/>
        </w:rPr>
        <w:t>四是全力抓实巡察问题整改工作。</w:t>
      </w:r>
      <w:r>
        <w:rPr>
          <w:rFonts w:hint="default" w:ascii="Times New Roman" w:hAnsi="Times New Roman" w:eastAsia="仿宋_GB2312" w:cs="Times New Roman"/>
          <w:sz w:val="32"/>
          <w:szCs w:val="32"/>
          <w:lang w:val="en-US" w:eastAsia="zh-CN"/>
        </w:rPr>
        <w:t>以高度的政治责任感与使命感，严肃认真对待县委巡察组反馈的各项意见及建议，扎实做好“后半篇文章”。将巡察整改视为优化工作流程、提升履职效能、强化纪律作风的关键契机，不回避、不拖延，逐一剖析问题根源，精准制定整改举措，明确整改责任人和时限要求，确保事事有回音、件件有着落，以实际整改成效彰显政治担当、回应组织重托与群众期盼。</w:t>
      </w:r>
    </w:p>
    <w:p w14:paraId="32C7AB03">
      <w:pPr>
        <w:widowControl/>
        <w:shd w:val="clear" w:color="auto" w:fill="FFFFFF"/>
        <w:spacing w:line="600" w:lineRule="atLeast"/>
        <w:ind w:firstLine="640"/>
        <w:jc w:val="left"/>
        <w:rPr>
          <w:rFonts w:hint="eastAsia" w:ascii="仿宋" w:hAnsi="仿宋" w:eastAsia="仿宋" w:cs="仿宋"/>
          <w:kern w:val="0"/>
          <w:sz w:val="32"/>
          <w:szCs w:val="32"/>
          <w:lang w:eastAsia="zh-CN"/>
        </w:rPr>
      </w:pPr>
      <w:r>
        <w:rPr>
          <w:rFonts w:ascii="Times New Roman" w:hAnsi="Times New Roman" w:eastAsia="仿宋_GB2312" w:cs="Times New Roman"/>
          <w:sz w:val="32"/>
          <w:szCs w:val="32"/>
        </w:rPr>
        <w:t>发现的主要问题及原因：</w:t>
      </w:r>
      <w:r>
        <w:rPr>
          <w:rFonts w:hint="eastAsia" w:ascii="仿宋" w:hAnsi="仿宋" w:eastAsia="仿宋" w:cs="仿宋"/>
          <w:b w:val="0"/>
          <w:bCs w:val="0"/>
          <w:kern w:val="0"/>
          <w:sz w:val="32"/>
          <w:szCs w:val="32"/>
        </w:rPr>
        <w:t>预算编制前根据年度内单位可见的工作任务，</w:t>
      </w:r>
      <w:r>
        <w:rPr>
          <w:rFonts w:hint="eastAsia" w:ascii="仿宋" w:hAnsi="仿宋" w:eastAsia="仿宋" w:cs="仿宋"/>
          <w:kern w:val="0"/>
          <w:sz w:val="32"/>
          <w:szCs w:val="32"/>
        </w:rPr>
        <w:t>确定了单位年度预算目标，细化了预算指标，但是在实际支出过程中，由于工作调整、实际审核及部分工作需要跨年度开展等情况，部分资金未严格按照预算指标执行</w:t>
      </w:r>
      <w:r>
        <w:rPr>
          <w:rFonts w:hint="eastAsia" w:ascii="仿宋" w:hAnsi="仿宋" w:eastAsia="仿宋" w:cs="仿宋"/>
          <w:kern w:val="0"/>
          <w:sz w:val="32"/>
          <w:szCs w:val="32"/>
          <w:lang w:eastAsia="zh-CN"/>
        </w:rPr>
        <w:t>，有未支付及预算调减项目情况</w:t>
      </w:r>
      <w:r>
        <w:rPr>
          <w:rFonts w:hint="eastAsia" w:ascii="仿宋" w:hAnsi="仿宋" w:eastAsia="仿宋" w:cs="仿宋"/>
          <w:kern w:val="0"/>
          <w:sz w:val="32"/>
          <w:szCs w:val="32"/>
        </w:rPr>
        <w:t>。</w:t>
      </w:r>
    </w:p>
    <w:p w14:paraId="22D8CEBC">
      <w:pPr>
        <w:widowControl/>
        <w:shd w:val="clear" w:color="auto" w:fill="FFFFFF"/>
        <w:spacing w:line="600" w:lineRule="atLeast"/>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下一步改进措施：</w:t>
      </w:r>
    </w:p>
    <w:p w14:paraId="78176A71">
      <w:pPr>
        <w:widowControl/>
        <w:shd w:val="clear" w:color="auto" w:fill="FFFFFF"/>
        <w:spacing w:line="600" w:lineRule="atLeast"/>
        <w:ind w:firstLine="640"/>
        <w:jc w:val="left"/>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一是完善预算编制，做到统筹兼顾，实事求是，全部收入纳入预算，确保预算的完整性，合理科学提高预算执行效率。严格执行预算，提高资金使用效益。</w:t>
      </w:r>
    </w:p>
    <w:p w14:paraId="79A2FAB4">
      <w:pPr>
        <w:spacing w:line="640" w:lineRule="exact"/>
        <w:ind w:left="0" w:leftChars="0"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二是</w:t>
      </w:r>
      <w:r>
        <w:rPr>
          <w:rFonts w:hint="eastAsia" w:ascii="Times New Roman" w:hAnsi="Times New Roman" w:eastAsia="仿宋_GB2312" w:cs="Times New Roman"/>
          <w:sz w:val="32"/>
          <w:szCs w:val="32"/>
        </w:rPr>
        <w:t>强化单位内部财务管理，加强财务制度建设</w:t>
      </w:r>
    </w:p>
    <w:p w14:paraId="5ADD17DA">
      <w:pPr>
        <w:widowControl/>
        <w:shd w:val="clear" w:color="auto" w:fill="FFFFFF"/>
        <w:spacing w:line="600" w:lineRule="atLeast"/>
        <w:ind w:firstLine="640" w:firstLineChars="200"/>
        <w:jc w:val="left"/>
        <w:rPr>
          <w:rFonts w:hint="eastAsia" w:ascii="仿宋_GB2312" w:hAnsi="仿宋_GB2312" w:eastAsia="仿宋_GB2312" w:cs="仿宋_GB2312"/>
          <w:sz w:val="32"/>
          <w:szCs w:val="32"/>
        </w:rPr>
      </w:pPr>
      <w:r>
        <w:rPr>
          <w:rFonts w:hint="eastAsia" w:ascii="仿宋" w:hAnsi="仿宋" w:eastAsia="仿宋" w:cs="宋体"/>
          <w:kern w:val="0"/>
          <w:sz w:val="32"/>
          <w:szCs w:val="32"/>
        </w:rPr>
        <w:t>严格管理，规范财务运行，加强预算支出管理严格遵循“先有预算、后有支出”的原则，建立健全各项管理制度，严格履行审批制度，确保资金支出合法、真实。</w:t>
      </w:r>
    </w:p>
    <w:p w14:paraId="288BED59">
      <w:pPr>
        <w:pStyle w:val="8"/>
        <w:overflowPunct w:val="0"/>
        <w:autoSpaceDE/>
        <w:autoSpaceDN/>
        <w:spacing w:line="600" w:lineRule="exact"/>
        <w:ind w:firstLine="643" w:firstLineChars="200"/>
        <w:jc w:val="both"/>
        <w:rPr>
          <w:rFonts w:ascii="Times New Roman" w:hAnsi="Times New Roman" w:eastAsia="仿宋_GB2312" w:cs="Times New Roman"/>
          <w:color w:val="auto"/>
          <w:sz w:val="72"/>
          <w:szCs w:val="72"/>
        </w:rPr>
      </w:pPr>
      <w:r>
        <w:rPr>
          <w:rFonts w:ascii="Times New Roman" w:hAnsi="Times New Roman" w:eastAsia="楷体_GB2312" w:cs="Times New Roman"/>
          <w:b/>
          <w:bCs/>
          <w:color w:val="auto"/>
          <w:kern w:val="2"/>
          <w:sz w:val="32"/>
          <w:szCs w:val="32"/>
        </w:rPr>
        <w:t>（三）评价结果应用情况。</w:t>
      </w:r>
    </w:p>
    <w:p w14:paraId="79E83430">
      <w:pPr>
        <w:pStyle w:val="8"/>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仿宋" w:hAnsi="仿宋" w:eastAsia="仿宋" w:cs="宋体"/>
          <w:color w:val="auto"/>
          <w:kern w:val="0"/>
          <w:sz w:val="32"/>
          <w:szCs w:val="32"/>
          <w:lang w:val="en-US" w:eastAsia="zh-CN" w:bidi="ar-SA"/>
        </w:rPr>
      </w:pPr>
      <w:r>
        <w:rPr>
          <w:rFonts w:hint="eastAsia" w:ascii="仿宋" w:hAnsi="仿宋" w:eastAsia="仿宋" w:cs="宋体"/>
          <w:color w:val="auto"/>
          <w:kern w:val="0"/>
          <w:sz w:val="32"/>
          <w:szCs w:val="32"/>
          <w:lang w:val="en-US" w:eastAsia="zh-CN" w:bidi="ar-SA"/>
        </w:rPr>
        <w:t>根据2024年度绩效自评、部门评价及财政评价结果，本部门对2025年度预算管理及相关工作安排如下：</w:t>
      </w:r>
    </w:p>
    <w:p w14:paraId="1BA638DE">
      <w:pPr>
        <w:pStyle w:val="8"/>
        <w:numPr>
          <w:ilvl w:val="0"/>
          <w:numId w:val="3"/>
        </w:numPr>
        <w:jc w:val="both"/>
        <w:rPr>
          <w:rFonts w:hint="eastAsia" w:ascii="仿宋" w:hAnsi="仿宋" w:eastAsia="仿宋" w:cs="宋体"/>
          <w:color w:val="auto"/>
          <w:kern w:val="0"/>
          <w:sz w:val="32"/>
          <w:szCs w:val="32"/>
          <w:lang w:val="en-US" w:eastAsia="zh-CN" w:bidi="ar-SA"/>
        </w:rPr>
      </w:pPr>
      <w:r>
        <w:rPr>
          <w:rFonts w:hint="eastAsia" w:ascii="仿宋" w:hAnsi="仿宋" w:eastAsia="仿宋" w:cs="宋体"/>
          <w:color w:val="auto"/>
          <w:kern w:val="0"/>
          <w:sz w:val="32"/>
          <w:szCs w:val="32"/>
          <w:lang w:val="en-US" w:eastAsia="zh-CN" w:bidi="ar-SA"/>
        </w:rPr>
        <w:t>预算安排优化：</w:t>
      </w:r>
    </w:p>
    <w:p w14:paraId="5D98E657">
      <w:pPr>
        <w:pStyle w:val="8"/>
        <w:numPr>
          <w:ilvl w:val="0"/>
          <w:numId w:val="0"/>
        </w:numPr>
        <w:ind w:firstLine="320" w:firstLineChars="100"/>
        <w:jc w:val="both"/>
        <w:rPr>
          <w:rFonts w:hint="eastAsia" w:ascii="仿宋" w:hAnsi="仿宋" w:eastAsia="仿宋" w:cs="宋体"/>
          <w:color w:val="auto"/>
          <w:kern w:val="0"/>
          <w:sz w:val="32"/>
          <w:szCs w:val="32"/>
          <w:lang w:val="en-US" w:eastAsia="zh-CN" w:bidi="ar-SA"/>
        </w:rPr>
      </w:pPr>
      <w:r>
        <w:rPr>
          <w:rFonts w:hint="eastAsia" w:ascii="仿宋" w:hAnsi="仿宋" w:eastAsia="仿宋" w:cs="宋体"/>
          <w:color w:val="auto"/>
          <w:kern w:val="0"/>
          <w:sz w:val="32"/>
          <w:szCs w:val="32"/>
          <w:lang w:val="en-US" w:eastAsia="zh-CN" w:bidi="ar-SA"/>
        </w:rPr>
        <w:t>1、优先保障高效项目，比如“城乡居民医保财政配套”、</w:t>
      </w:r>
      <w:r>
        <w:rPr>
          <w:rFonts w:hint="eastAsia" w:ascii="仿宋" w:hAnsi="仿宋" w:eastAsia="仿宋" w:cs="宋体"/>
          <w:color w:val="auto"/>
          <w:kern w:val="0"/>
          <w:sz w:val="32"/>
          <w:szCs w:val="32"/>
          <w:lang w:val="en-US" w:eastAsia="zh-CN" w:bidi="ar-SA"/>
        </w:rPr>
        <w:t>“城乡医疗救助”、“医保征缴工作经费”、“离退休人员生活补助”等8个资金项目。</w:t>
      </w:r>
    </w:p>
    <w:p w14:paraId="26800319">
      <w:pPr>
        <w:pStyle w:val="8"/>
        <w:numPr>
          <w:ilvl w:val="0"/>
          <w:numId w:val="0"/>
        </w:numPr>
        <w:ind w:firstLine="320" w:firstLineChars="100"/>
        <w:jc w:val="both"/>
        <w:rPr>
          <w:rFonts w:hint="default" w:ascii="仿宋" w:hAnsi="仿宋" w:eastAsia="仿宋" w:cs="宋体"/>
          <w:color w:val="auto"/>
          <w:kern w:val="0"/>
          <w:sz w:val="32"/>
          <w:szCs w:val="32"/>
          <w:lang w:val="en-US" w:eastAsia="zh-CN" w:bidi="ar-SA"/>
        </w:rPr>
      </w:pPr>
      <w:r>
        <w:rPr>
          <w:rFonts w:hint="eastAsia" w:ascii="仿宋" w:hAnsi="仿宋" w:eastAsia="仿宋" w:cs="宋体"/>
          <w:color w:val="auto"/>
          <w:kern w:val="0"/>
          <w:sz w:val="32"/>
          <w:szCs w:val="32"/>
          <w:lang w:val="en-US" w:eastAsia="zh-CN" w:bidi="ar-SA"/>
        </w:rPr>
        <w:t>2、部分项目已完成本年度不再申报，比如“医保智能终端体系建设”等4个资金项目。</w:t>
      </w:r>
    </w:p>
    <w:p w14:paraId="77684FC4">
      <w:pPr>
        <w:pStyle w:val="8"/>
        <w:numPr>
          <w:ilvl w:val="0"/>
          <w:numId w:val="0"/>
        </w:numPr>
        <w:ind w:firstLine="320" w:firstLineChars="100"/>
        <w:jc w:val="both"/>
        <w:rPr>
          <w:rFonts w:hint="eastAsia" w:ascii="仿宋" w:hAnsi="仿宋" w:eastAsia="仿宋" w:cs="宋体"/>
          <w:color w:val="auto"/>
          <w:kern w:val="0"/>
          <w:sz w:val="32"/>
          <w:szCs w:val="32"/>
          <w:lang w:val="en-US" w:eastAsia="zh-CN" w:bidi="ar-SA"/>
        </w:rPr>
      </w:pPr>
      <w:r>
        <w:rPr>
          <w:rFonts w:hint="eastAsia" w:ascii="仿宋" w:hAnsi="仿宋" w:eastAsia="仿宋" w:cs="宋体"/>
          <w:color w:val="auto"/>
          <w:kern w:val="0"/>
          <w:sz w:val="32"/>
          <w:szCs w:val="32"/>
          <w:lang w:val="en-US" w:eastAsia="zh-CN" w:bidi="ar-SA"/>
        </w:rPr>
        <w:t>3、根据工作需要新增一个“医保政策宣传及基金监管经费”项目。</w:t>
      </w:r>
    </w:p>
    <w:p w14:paraId="288F0834">
      <w:pPr>
        <w:pStyle w:val="8"/>
        <w:numPr>
          <w:ilvl w:val="0"/>
          <w:numId w:val="0"/>
        </w:numPr>
        <w:ind w:firstLine="320" w:firstLineChars="100"/>
        <w:jc w:val="both"/>
        <w:rPr>
          <w:rFonts w:hint="eastAsia" w:ascii="仿宋" w:hAnsi="仿宋" w:eastAsia="仿宋" w:cs="宋体"/>
          <w:color w:val="auto"/>
          <w:kern w:val="0"/>
          <w:sz w:val="32"/>
          <w:szCs w:val="32"/>
          <w:lang w:val="en-US" w:eastAsia="zh-CN" w:bidi="ar-SA"/>
        </w:rPr>
      </w:pPr>
      <w:r>
        <w:rPr>
          <w:rFonts w:hint="eastAsia" w:ascii="仿宋" w:hAnsi="仿宋" w:eastAsia="仿宋" w:cs="宋体"/>
          <w:color w:val="auto"/>
          <w:kern w:val="0"/>
          <w:sz w:val="32"/>
          <w:szCs w:val="32"/>
          <w:lang w:val="en-US" w:eastAsia="zh-CN" w:bidi="ar-SA"/>
        </w:rPr>
        <w:t>二、加强制度管理</w:t>
      </w:r>
    </w:p>
    <w:p w14:paraId="3369CEF0">
      <w:pPr>
        <w:pStyle w:val="8"/>
        <w:numPr>
          <w:ilvl w:val="0"/>
          <w:numId w:val="0"/>
        </w:numPr>
        <w:ind w:firstLine="320" w:firstLineChars="100"/>
        <w:jc w:val="both"/>
        <w:rPr>
          <w:rFonts w:hint="eastAsia" w:ascii="仿宋" w:hAnsi="仿宋" w:eastAsia="仿宋" w:cs="宋体"/>
          <w:color w:val="auto"/>
          <w:kern w:val="0"/>
          <w:sz w:val="32"/>
          <w:szCs w:val="32"/>
          <w:lang w:val="en-US" w:eastAsia="zh-CN" w:bidi="ar-SA"/>
        </w:rPr>
      </w:pPr>
      <w:r>
        <w:rPr>
          <w:rFonts w:hint="eastAsia" w:ascii="仿宋" w:hAnsi="仿宋" w:eastAsia="仿宋" w:cs="宋体"/>
          <w:color w:val="auto"/>
          <w:kern w:val="0"/>
          <w:sz w:val="32"/>
          <w:szCs w:val="32"/>
          <w:lang w:val="en-US" w:eastAsia="zh-CN" w:bidi="ar-SA"/>
        </w:rPr>
        <w:t>根据县财政绩效文件要求，完善单位资金绩效管理，定期监督资金使用效率，绩效评价结果纳入内部考核体系，明确各科室责任。</w:t>
      </w:r>
    </w:p>
    <w:p w14:paraId="2F24516A">
      <w:pPr>
        <w:pStyle w:val="8"/>
        <w:numPr>
          <w:numId w:val="0"/>
        </w:numPr>
        <w:jc w:val="both"/>
        <w:rPr>
          <w:rFonts w:hint="default" w:eastAsia="仿宋_GB2312"/>
          <w:sz w:val="24"/>
          <w:lang w:val="en-US" w:eastAsia="zh-CN"/>
        </w:rPr>
      </w:pPr>
    </w:p>
    <w:p w14:paraId="51929827">
      <w:pPr>
        <w:rPr>
          <w:rFonts w:hint="eastAsia" w:ascii="仿宋" w:hAnsi="仿宋" w:eastAsia="仿宋" w:cs="宋体"/>
          <w:color w:val="auto"/>
          <w:kern w:val="0"/>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10917D"/>
    <w:multiLevelType w:val="singleLevel"/>
    <w:tmpl w:val="D610917D"/>
    <w:lvl w:ilvl="0" w:tentative="0">
      <w:start w:val="1"/>
      <w:numFmt w:val="chineseCounting"/>
      <w:suff w:val="nothing"/>
      <w:lvlText w:val="%1、"/>
      <w:lvlJc w:val="left"/>
      <w:rPr>
        <w:rFonts w:hint="eastAsia"/>
      </w:rPr>
    </w:lvl>
  </w:abstractNum>
  <w:abstractNum w:abstractNumId="1">
    <w:nsid w:val="3A25CD05"/>
    <w:multiLevelType w:val="singleLevel"/>
    <w:tmpl w:val="3A25CD05"/>
    <w:lvl w:ilvl="0" w:tentative="0">
      <w:start w:val="1"/>
      <w:numFmt w:val="chineseCounting"/>
      <w:suff w:val="nothing"/>
      <w:lvlText w:val="（%1）"/>
      <w:lvlJc w:val="left"/>
      <w:rPr>
        <w:rFonts w:hint="eastAsia"/>
      </w:rPr>
    </w:lvl>
  </w:abstractNum>
  <w:abstractNum w:abstractNumId="2">
    <w:nsid w:val="7C508A51"/>
    <w:multiLevelType w:val="singleLevel"/>
    <w:tmpl w:val="7C508A51"/>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00000000"/>
    <w:rsid w:val="314C456E"/>
    <w:rsid w:val="357826A4"/>
    <w:rsid w:val="489A18C8"/>
    <w:rsid w:val="506374B2"/>
    <w:rsid w:val="712538D6"/>
    <w:rsid w:val="727342FE"/>
    <w:rsid w:val="7BB26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footnote text"/>
    <w:basedOn w:val="1"/>
    <w:next w:val="3"/>
    <w:semiHidden/>
    <w:qFormat/>
    <w:uiPriority w:val="0"/>
    <w:pPr>
      <w:snapToGrid w:val="0"/>
      <w:jc w:val="left"/>
    </w:pPr>
    <w:rPr>
      <w:sz w:val="18"/>
      <w:szCs w:val="18"/>
    </w:rPr>
  </w:style>
  <w:style w:type="character" w:styleId="7">
    <w:name w:val="Strong"/>
    <w:basedOn w:val="6"/>
    <w:qFormat/>
    <w:uiPriority w:val="0"/>
    <w:rPr>
      <w:b/>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851</Words>
  <Characters>947</Characters>
  <Lines>0</Lines>
  <Paragraphs>0</Paragraphs>
  <TotalTime>23</TotalTime>
  <ScaleCrop>false</ScaleCrop>
  <LinksUpToDate>false</LinksUpToDate>
  <CharactersWithSpaces>952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春暖花开</cp:lastModifiedBy>
  <dcterms:modified xsi:type="dcterms:W3CDTF">2025-09-24T02:06:55Z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12A71744045445B687D66BD13FB312DC_12</vt:lpwstr>
  </property>
  <property fmtid="{D5CDD505-2E9C-101B-9397-08002B2CF9AE}" pid="4" name="KSOTemplateDocerSaveRecord">
    <vt:lpwstr>eyJoZGlkIjoiYTc3NDA3MjU1ODY3YmYxNjM4OGE2NDUxZjlmNGZlOGMiLCJ1c2VySWQiOiI0NDA4NTE0ODQifQ==</vt:lpwstr>
  </property>
</Properties>
</file>